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32" w:lineRule="exact"/>
        <w:rPr>
          <w:sz w:val="24"/>
          <w:szCs w:val="24"/>
          <w:color w:val="auto"/>
        </w:rPr>
      </w:pPr>
    </w:p>
    <w:p>
      <w:pPr>
        <w:ind w:left="3860" w:right="1600" w:hanging="3839"/>
        <w:spacing w:after="0" w:line="344"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 to 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001-40710</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Tigo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8"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438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35"/>
        </w:trPr>
        <w:tc>
          <w:tcPr>
            <w:tcW w:w="4380" w:type="dxa"/>
            <w:vAlign w:val="bottom"/>
          </w:tcPr>
          <w:p>
            <w:pPr>
              <w:jc w:val="center"/>
              <w:ind w:right="188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40" w:type="dxa"/>
            <w:vAlign w:val="bottom"/>
          </w:tcPr>
          <w:p>
            <w:pPr>
              <w:jc w:val="center"/>
              <w:ind w:left="188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4380" w:type="dxa"/>
            <w:vAlign w:val="bottom"/>
          </w:tcPr>
          <w:p>
            <w:pPr>
              <w:jc w:val="center"/>
              <w:ind w:right="1884"/>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2940" w:type="dxa"/>
            <w:vAlign w:val="bottom"/>
          </w:tcPr>
          <w:p>
            <w:pPr>
              <w:jc w:val="center"/>
              <w:ind w:left="188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38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9"/>
              </w:rPr>
              <w:t>983 University Avenue, Suite B,</w:t>
            </w:r>
          </w:p>
        </w:tc>
        <w:tc>
          <w:tcPr>
            <w:tcW w:w="2940" w:type="dxa"/>
            <w:vAlign w:val="bottom"/>
          </w:tcPr>
          <w:p>
            <w:pPr>
              <w:spacing w:after="0"/>
              <w:rPr>
                <w:sz w:val="18"/>
                <w:szCs w:val="18"/>
                <w:color w:val="auto"/>
              </w:rPr>
            </w:pPr>
          </w:p>
        </w:tc>
      </w:tr>
      <w:tr>
        <w:trPr>
          <w:trHeight w:val="218"/>
        </w:trPr>
        <w:tc>
          <w:tcPr>
            <w:tcW w:w="438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rPr>
              <w:t>Los Gatos, California</w:t>
            </w:r>
          </w:p>
        </w:tc>
        <w:tc>
          <w:tcPr>
            <w:tcW w:w="294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95032</w:t>
            </w:r>
          </w:p>
        </w:tc>
      </w:tr>
      <w:tr>
        <w:trPr>
          <w:trHeight w:val="166"/>
        </w:trPr>
        <w:tc>
          <w:tcPr>
            <w:tcW w:w="438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940" w:type="dxa"/>
            <w:vAlign w:val="bottom"/>
          </w:tcPr>
          <w:p>
            <w:pPr>
              <w:jc w:val="center"/>
              <w:ind w:left="18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402-0802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6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42"/>
        </w:trPr>
        <w:tc>
          <w:tcPr>
            <w:tcW w:w="36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40" w:type="dxa"/>
            <w:vAlign w:val="bottom"/>
            <w:shd w:val="clear" w:color="auto" w:fill="CFF0FC"/>
          </w:tcPr>
          <w:p>
            <w:pPr>
              <w:spacing w:after="0"/>
              <w:rPr>
                <w:sz w:val="12"/>
                <w:szCs w:val="12"/>
                <w:color w:val="auto"/>
              </w:rPr>
            </w:pPr>
          </w:p>
        </w:tc>
        <w:tc>
          <w:tcPr>
            <w:tcW w:w="36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TYGO</w:t>
            </w:r>
          </w:p>
        </w:tc>
        <w:tc>
          <w:tcPr>
            <w:tcW w:w="160" w:type="dxa"/>
            <w:vAlign w:val="bottom"/>
            <w:shd w:val="clear" w:color="auto" w:fill="CFF0FC"/>
          </w:tcPr>
          <w:p>
            <w:pPr>
              <w:spacing w:after="0"/>
              <w:rPr>
                <w:sz w:val="12"/>
                <w:szCs w:val="12"/>
                <w:color w:val="auto"/>
              </w:rPr>
            </w:pPr>
          </w:p>
        </w:tc>
        <w:tc>
          <w:tcPr>
            <w:tcW w:w="364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5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4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31, 2025, the registrant had 65,740,057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are “forward-looking looking statements” within the meaning of the Private Securities Litigation Reform Act of 1995. These forward-looking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the Company discusses its strategies or plans, the Company is making projections, forecasts or forward-looking statements. Such statements are based on the beliefs of, as well as assumptions made by and information currently available to, the Company’s management.</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 this Quarterly Report on Form 10-Q may include, for example, statements about:</w:t>
      </w:r>
    </w:p>
    <w:p>
      <w:pPr>
        <w:spacing w:after="0" w:line="117"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future liquidity requirements, including our ability to continue as a going concern, which will likely require us to explore refinancing our existing debt and/or raise additional capital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and market opportunities of the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the continued listing requirements of Nasdaq;</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and sell its product offerings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risks associated with seasonal trends and the cyclical nature of the solar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the Company’s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and protect intellectual property;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risks associated with the Company’s dependence on a small number of outside contract manufacturers, primarily in China and Thailand;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working with leading solar manufacturers;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respond to fluctuations in foreign currency exchange rates, trade tariffs or other trade barriers, and political unrest and regulatory changes in the markets into which the Company expands or otherwise operates 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enhance future operating and financial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forecast demand accurately and monetize its inventory on-hand;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retain or recruit, or changes required in, its officers, key employees or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implement and maintain effective internal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Company’s business, operations and financial performance, including:</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comply with laws and regulations applicable to its business;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omarket conditions and global and economic factors beyond the Company’s control;</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compete in the highly competitive and evolving solar industry;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continue to develop new products and innovations to meet constantly evolving customer demands;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the Company’s ability to enter into, successfully maintain and manage relationships with partners and distributors; and</w:t>
      </w:r>
    </w:p>
    <w:p>
      <w:pPr>
        <w:spacing w:after="0" w:line="117" w:lineRule="exact"/>
        <w:rPr>
          <w:rFonts w:ascii="Times New Roman" w:cs="Times New Roman" w:eastAsia="Times New Roman" w:hAnsi="Times New Roman"/>
          <w:sz w:val="18"/>
          <w:szCs w:val="18"/>
          <w:color w:val="auto"/>
        </w:rPr>
      </w:pPr>
    </w:p>
    <w:p>
      <w:pPr>
        <w:ind w:left="1540" w:right="2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Company’s ability to acquire or make investments in other businesses, patents, technologies, products or services to grow the business, and realize the anticipated benefits therefrom.</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cautions you that the foregoing list may not contain all of the forward-looking statements made in this Quarterly Report on Form 10-Q. These forward-looking statements are only predictions based on the Company’s current expectations and projections about future events and are subject to a number of risks, uncertainties and assumptions, including those described in this Quarterly Report on Form 10-Q, in particular the risks described in Part II, Item 1A, “Risk Factors” of this Quarterly Report and in Part I, Item 1A, “Risk Factors” in the Company’s Annual Report on Form 10-K filed with the Securities and Exchange Commission (the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“SEC”) on March 20, 2025 (the “2024 Annual Report”) and the Company’s other filings with the SEC. It is not possible for the management of the Company to predict all risks, nor can the Company assess the impact of all factors on the Company’s business or the extent to which any factor, or combination of factors, may cause actual results to differ materially from those contained in any forward-looking statements the Company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in this Quarterly Report on Form 10-Q.</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Quarterly Report on Form 10-Q are made only as of the date hereof. You should not rely upon forward-looking statements as predictions of future events. Although the Company believes that the expectations reflected in its forward-looking statements are reasonable, the Company cannot guarantee that the future results, levels of activity, performance or events and circumstances reflected in the forward-looking statements will be achieved or occur. The Company does not undertake any obligation to update publicly any forward-looking statements for any reason after the date of this Quarterly Report on Form 10-Q to conform these statements to actual results or to changes in expectations, except as required by law. You should read this Quarterly Report on Form 10-Q and the documents that have been filed as exhibits hereto with the understanding that the actual future results, levels of activity, performance, events and circumstances of the Company may be materially different from what is expected.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60" w:type="dxa"/>
            <w:vAlign w:val="bottom"/>
            <w:gridSpan w:val="8"/>
          </w:tcPr>
          <w:p>
            <w:pPr>
              <w:ind w:left="1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r>
      <w:tr>
        <w:trPr>
          <w:trHeight w:val="414"/>
        </w:trPr>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60" w:type="dxa"/>
            <w:vAlign w:val="bottom"/>
            <w:gridSpan w:val="8"/>
          </w:tcPr>
          <w:p>
            <w:pPr>
              <w:ind w:left="8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920" w:type="dxa"/>
            <w:vAlign w:val="bottom"/>
          </w:tcPr>
          <w:p>
            <w:pPr>
              <w:spacing w:after="0"/>
              <w:rPr>
                <w:sz w:val="24"/>
                <w:szCs w:val="24"/>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for the Three and Six Months ended June 30, 2025,</w:t>
            </w:r>
          </w:p>
        </w:tc>
        <w:tc>
          <w:tcPr>
            <w:tcW w:w="9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and 2024</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2025, and 2024</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18"/>
        </w:trPr>
        <w:tc>
          <w:tcPr>
            <w:tcW w:w="104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60" w:type="dxa"/>
            <w:vAlign w:val="bottom"/>
            <w:gridSpan w:val="8"/>
          </w:tcPr>
          <w:p>
            <w:pPr>
              <w:ind w:left="9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920" w:type="dxa"/>
            <w:vAlign w:val="bottom"/>
          </w:tcPr>
          <w:p>
            <w:pPr>
              <w:spacing w:after="0"/>
              <w:rPr>
                <w:sz w:val="18"/>
                <w:szCs w:val="18"/>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98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Item 1.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7560" w:type="dxa"/>
            <w:vAlign w:val="bottom"/>
            <w:shd w:val="clear" w:color="auto" w:fill="CFF0FC"/>
          </w:tcPr>
          <w:p>
            <w:pPr>
              <w:ind w:left="5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10,212</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11,746</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 short-term</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8,156</w:t>
            </w:r>
          </w:p>
        </w:tc>
        <w:tc>
          <w:tcPr>
            <w:tcW w:w="100" w:type="dxa"/>
            <w:vAlign w:val="bottom"/>
          </w:tcPr>
          <w:p>
            <w:pPr>
              <w:spacing w:after="0"/>
              <w:rPr>
                <w:sz w:val="17"/>
                <w:szCs w:val="17"/>
                <w:color w:val="auto"/>
              </w:rPr>
            </w:pPr>
          </w:p>
        </w:tc>
      </w:tr>
      <w:tr>
        <w:trPr>
          <w:trHeight w:val="189"/>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$2,077 and $2,239 at June 30, 2025, and December 31,</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2024, respectively</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7,976</w:t>
            </w:r>
          </w:p>
        </w:tc>
        <w:tc>
          <w:tcPr>
            <w:tcW w:w="100" w:type="dxa"/>
            <w:vAlign w:val="bottom"/>
            <w:shd w:val="clear" w:color="auto" w:fill="CFF0FC"/>
          </w:tcPr>
          <w:p>
            <w:pPr>
              <w:spacing w:after="0"/>
              <w:rPr>
                <w:sz w:val="18"/>
                <w:szCs w:val="18"/>
                <w:color w:val="auto"/>
              </w:rPr>
            </w:pPr>
          </w:p>
        </w:tc>
      </w:tr>
      <w:tr>
        <w:trPr>
          <w:trHeight w:val="20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21,997</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53,408</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Operating right of use assets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7"/>
                <w:szCs w:val="17"/>
                <w:color w:val="auto"/>
              </w:rPr>
            </w:pPr>
          </w:p>
        </w:tc>
      </w:tr>
      <w:tr>
        <w:trPr>
          <w:trHeight w:val="203"/>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80,645</w:t>
            </w:r>
          </w:p>
        </w:tc>
        <w:tc>
          <w:tcPr>
            <w:tcW w:w="16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72,911</w:t>
            </w:r>
          </w:p>
        </w:tc>
        <w:tc>
          <w:tcPr>
            <w:tcW w:w="100" w:type="dxa"/>
            <w:vAlign w:val="bottom"/>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60" w:type="dxa"/>
            <w:vAlign w:val="bottom"/>
            <w:shd w:val="clear" w:color="auto" w:fill="CFF0FC"/>
          </w:tcPr>
          <w:p>
            <w:pPr>
              <w:ind w:left="38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14,226</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7,361</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Short-term debt, net of unamortized debt discount and issuance costs</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44,981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Warranty liability, current portion</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FF0FC"/>
          </w:tcPr>
          <w:p>
            <w:pPr>
              <w:spacing w:after="0"/>
              <w:rPr>
                <w:sz w:val="17"/>
                <w:szCs w:val="17"/>
                <w:color w:val="auto"/>
              </w:rPr>
            </w:pPr>
          </w:p>
        </w:tc>
      </w:tr>
      <w:tr>
        <w:trPr>
          <w:trHeight w:val="202"/>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17"/>
                <w:szCs w:val="17"/>
                <w:color w:val="auto"/>
              </w:rPr>
            </w:pPr>
          </w:p>
        </w:tc>
      </w:tr>
      <w:tr>
        <w:trPr>
          <w:trHeight w:val="196"/>
        </w:trPr>
        <w:tc>
          <w:tcPr>
            <w:tcW w:w="7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68,002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17,108</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Warranty liability, net of current portion</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 of unamortized debt discount and issuance costs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40,511</w:t>
            </w: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78,953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 150,000,000 shares authorized; 62,628,790 and 60,800,130 shares issued and</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outstanding at June 30, 2025, and December 31, 2024, respectively</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r>
      <w:tr>
        <w:trPr>
          <w:trHeight w:val="205"/>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146,903</w:t>
            </w:r>
          </w:p>
        </w:tc>
        <w:tc>
          <w:tcPr>
            <w:tcW w:w="100" w:type="dxa"/>
            <w:vAlign w:val="bottom"/>
            <w:shd w:val="clear" w:color="auto" w:fill="CFF0FC"/>
          </w:tcPr>
          <w:p>
            <w:pPr>
              <w:spacing w:after="0"/>
              <w:rPr>
                <w:sz w:val="17"/>
                <w:szCs w:val="17"/>
                <w:color w:val="auto"/>
              </w:rPr>
            </w:pPr>
          </w:p>
        </w:tc>
      </w:tr>
      <w:tr>
        <w:trPr>
          <w:trHeight w:val="203"/>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(149,957)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(138,526)</w:t>
            </w:r>
          </w:p>
        </w:tc>
      </w:tr>
      <w:tr>
        <w:trPr>
          <w:trHeight w:val="203"/>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r>
      <w:tr>
        <w:trPr>
          <w:trHeight w:val="196"/>
        </w:trPr>
        <w:tc>
          <w:tcPr>
            <w:tcW w:w="75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8,385</w:t>
            </w:r>
          </w:p>
        </w:tc>
        <w:tc>
          <w:tcPr>
            <w:tcW w:w="100" w:type="dxa"/>
            <w:vAlign w:val="bottom"/>
            <w:tcBorders>
              <w:top w:val="single" w:sz="8" w:color="CFF0FC"/>
            </w:tcBorders>
          </w:tcPr>
          <w:p>
            <w:pPr>
              <w:spacing w:after="0"/>
              <w:rPr>
                <w:sz w:val="17"/>
                <w:szCs w:val="17"/>
                <w:color w:val="auto"/>
              </w:rPr>
            </w:pPr>
          </w:p>
        </w:tc>
      </w:tr>
      <w:tr>
        <w:trPr>
          <w:trHeight w:val="216"/>
        </w:trPr>
        <w:tc>
          <w:tcPr>
            <w:tcW w:w="7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80,645</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72,911</w:t>
            </w:r>
          </w:p>
        </w:tc>
        <w:tc>
          <w:tcPr>
            <w:tcW w:w="100" w:type="dxa"/>
            <w:vAlign w:val="bottom"/>
            <w:shd w:val="clear" w:color="auto" w:fill="CFF0FC"/>
          </w:tcPr>
          <w:p>
            <w:pPr>
              <w:spacing w:after="0"/>
              <w:rPr>
                <w:sz w:val="18"/>
                <w:szCs w:val="18"/>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-4097020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-3316605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-1207770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24,958</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23,417</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(5,481)</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(17,491)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 in fair value of contingent shares liability</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9"/>
        </w:trPr>
        <w:tc>
          <w:tcPr>
            <w:tcW w:w="57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(4,272)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(10,977)</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(22,811)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(4,430)</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(11,321)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(11,431)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(22,827)</w:t>
            </w:r>
          </w:p>
        </w:tc>
        <w:tc>
          <w:tcPr>
            <w:tcW w:w="0" w:type="dxa"/>
            <w:vAlign w:val="bottom"/>
          </w:tcPr>
          <w:p>
            <w:pPr>
              <w:spacing w:after="0"/>
              <w:rPr>
                <w:sz w:val="1"/>
                <w:szCs w:val="1"/>
                <w:color w:val="auto"/>
              </w:rPr>
            </w:pPr>
          </w:p>
        </w:tc>
      </w:tr>
      <w:tr>
        <w:trPr>
          <w:trHeight w:val="209"/>
        </w:trPr>
        <w:tc>
          <w:tcPr>
            <w:tcW w:w="57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Unrealized (loss) gain resulting from change in fair value of marketable</w:t>
            </w:r>
          </w:p>
        </w:tc>
        <w:tc>
          <w:tcPr>
            <w:tcW w:w="120" w:type="dxa"/>
            <w:vAlign w:val="bottom"/>
            <w:vMerge w:val="restart"/>
          </w:tcPr>
          <w:p>
            <w:pPr>
              <w:spacing w:after="0"/>
              <w:rPr>
                <w:sz w:val="17"/>
                <w:szCs w:val="17"/>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7"/>
                <w:szCs w:val="17"/>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8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(4,433)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(11,297)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(11,436)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(22,791)</w:t>
            </w:r>
          </w:p>
        </w:tc>
        <w:tc>
          <w:tcPr>
            <w:tcW w:w="0" w:type="dxa"/>
            <w:vAlign w:val="bottom"/>
          </w:tcPr>
          <w:p>
            <w:pPr>
              <w:spacing w:after="0"/>
              <w:rPr>
                <w:sz w:val="1"/>
                <w:szCs w:val="1"/>
                <w:color w:val="auto"/>
              </w:rPr>
            </w:pPr>
          </w:p>
        </w:tc>
      </w:tr>
      <w:tr>
        <w:trPr>
          <w:trHeight w:val="197"/>
        </w:trPr>
        <w:tc>
          <w:tcPr>
            <w:tcW w:w="57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62,290,411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60,363,680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61,977,574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59,874,991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62,290,411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60,363,680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61,977,574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59,874,991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-3105785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-3105785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-3105785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-3105785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-2265680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-2265680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-2265680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-2265680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-1691005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-1691005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-1691005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-1691005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-996950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-979805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-996950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-979805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-996950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-979805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-979805</wp:posOffset>
            </wp:positionV>
            <wp:extent cx="77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7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3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60,800,130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4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146,903</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(138,526)</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employee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127,500</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incentive restricted stock awards</w:t>
            </w: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984,966</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 offering, net of offering costs</w:t>
            </w:r>
          </w:p>
        </w:tc>
        <w:tc>
          <w:tcPr>
            <w:tcW w:w="11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upon restricted stock awards</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(411)</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w:t>
            </w:r>
          </w:p>
        </w:tc>
        <w:tc>
          <w:tcPr>
            <w:tcW w:w="1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Unrealized loss resulting from change in fair value of</w:t>
            </w:r>
          </w:p>
        </w:tc>
        <w:tc>
          <w:tcPr>
            <w:tcW w:w="14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40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(7,001)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61,914,519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4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149,296</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(145,527)</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80" w:type="dxa"/>
            <w:vAlign w:val="bottom"/>
            <w:tcBorders>
              <w:top w:val="single" w:sz="8" w:color="CFF0FC"/>
            </w:tcBorders>
            <w:gridSpan w:val="2"/>
          </w:tcPr>
          <w:p>
            <w:pPr>
              <w:spacing w:after="0" w:line="143"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160,019</w:t>
            </w:r>
          </w:p>
        </w:tc>
        <w:tc>
          <w:tcPr>
            <w:tcW w:w="24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95</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employee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554,938</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incentive restricted stock awards</w:t>
            </w: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2,243</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 offering, net of offering costs</w:t>
            </w:r>
          </w:p>
        </w:tc>
        <w:tc>
          <w:tcPr>
            <w:tcW w:w="11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Shares withheld for taxes upon restricted stock awards</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(2,929)</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vesting</w:t>
            </w:r>
          </w:p>
        </w:tc>
        <w:tc>
          <w:tcPr>
            <w:tcW w:w="1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58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Unrealized loss resulting from change in fair value of</w:t>
            </w:r>
          </w:p>
        </w:tc>
        <w:tc>
          <w:tcPr>
            <w:tcW w:w="14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3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40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(4,430)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5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62,628,790</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4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151,646</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(149,957)</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-1208405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-1190625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-1208405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-1190625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-1208405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-1190625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-1208405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-1190625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-1208405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-1190625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-8255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-25400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-8255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7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3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(loss) gain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58,751,666</w:t>
            </w:r>
          </w:p>
        </w:tc>
        <w:tc>
          <w:tcPr>
            <w:tcW w:w="520" w:type="dxa"/>
            <w:vAlign w:val="bottom"/>
            <w:tcBorders>
              <w:bottom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138,657</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(75,780)</w:t>
            </w: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62,824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755,016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the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166,271</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 of fSight</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employee</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685,213</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incentive restricted stock awards</w:t>
            </w:r>
          </w:p>
        </w:tc>
        <w:tc>
          <w:tcPr>
            <w:tcW w:w="11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Unrealized gain resulting from change in fair value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(11,506)</w:t>
            </w:r>
          </w:p>
        </w:tc>
        <w:tc>
          <w:tcPr>
            <w:tcW w:w="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(11,506)</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60,358,166</w:t>
            </w:r>
          </w:p>
        </w:tc>
        <w:tc>
          <w:tcPr>
            <w:tcW w:w="22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141,651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(87,286)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13,821</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4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Unrealized gain resulting from change in fair value of</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1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(11,321)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(11,321)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60,371,987</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143,364</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(98,607)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-882650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-882650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-882650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-882650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-882650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gridSpan w:val="2"/>
          </w:tcPr>
          <w:p>
            <w:pPr>
              <w:jc w:val="right"/>
              <w:ind w:right="8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(11,431)</w:t>
            </w:r>
          </w:p>
        </w:tc>
        <w:tc>
          <w:tcPr>
            <w:tcW w:w="1020" w:type="dxa"/>
            <w:vAlign w:val="bottom"/>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(22,827)</w:t>
            </w:r>
          </w:p>
        </w:tc>
      </w:tr>
      <w:tr>
        <w:trPr>
          <w:trHeight w:val="148"/>
        </w:trPr>
        <w:tc>
          <w:tcPr>
            <w:tcW w:w="7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2"/>
                <w:szCs w:val="12"/>
                <w:color w:val="auto"/>
              </w:rPr>
            </w:pPr>
          </w:p>
        </w:tc>
      </w:tr>
      <w:tr>
        <w:trPr>
          <w:trHeight w:val="148"/>
        </w:trPr>
        <w:tc>
          <w:tcPr>
            <w:tcW w:w="75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to write down inventories to net realizable value</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FF0FC"/>
          </w:tcPr>
          <w:p>
            <w:pPr>
              <w:spacing w:after="0"/>
              <w:rPr>
                <w:sz w:val="12"/>
                <w:szCs w:val="12"/>
                <w:color w:val="auto"/>
              </w:rPr>
            </w:pPr>
          </w:p>
        </w:tc>
      </w:tr>
      <w:tr>
        <w:trPr>
          <w:trHeight w:val="149"/>
        </w:trPr>
        <w:tc>
          <w:tcPr>
            <w:tcW w:w="7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fair value of contingent shares liability</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(155)</w:t>
            </w:r>
          </w:p>
        </w:tc>
      </w:tr>
      <w:tr>
        <w:trPr>
          <w:trHeight w:val="148"/>
        </w:trPr>
        <w:tc>
          <w:tcPr>
            <w:tcW w:w="75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interest expense</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4,470</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4,470</w:t>
            </w:r>
          </w:p>
        </w:tc>
        <w:tc>
          <w:tcPr>
            <w:tcW w:w="100" w:type="dxa"/>
            <w:vAlign w:val="bottom"/>
            <w:shd w:val="clear" w:color="auto" w:fill="CFF0FC"/>
          </w:tcPr>
          <w:p>
            <w:pPr>
              <w:spacing w:after="0"/>
              <w:rPr>
                <w:sz w:val="12"/>
                <w:szCs w:val="12"/>
                <w:color w:val="auto"/>
              </w:rPr>
            </w:pPr>
          </w:p>
        </w:tc>
      </w:tr>
      <w:tr>
        <w:trPr>
          <w:trHeight w:val="148"/>
        </w:trPr>
        <w:tc>
          <w:tcPr>
            <w:tcW w:w="7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3,876</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4,208</w:t>
            </w:r>
          </w:p>
        </w:tc>
        <w:tc>
          <w:tcPr>
            <w:tcW w:w="100" w:type="dxa"/>
            <w:vAlign w:val="bottom"/>
          </w:tcPr>
          <w:p>
            <w:pPr>
              <w:spacing w:after="0"/>
              <w:rPr>
                <w:sz w:val="12"/>
                <w:szCs w:val="12"/>
                <w:color w:val="auto"/>
              </w:rPr>
            </w:pPr>
          </w:p>
        </w:tc>
      </w:tr>
      <w:tr>
        <w:trPr>
          <w:trHeight w:val="148"/>
        </w:trPr>
        <w:tc>
          <w:tcPr>
            <w:tcW w:w="75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 in allowance for credit losses</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0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(1,434)</w:t>
            </w:r>
          </w:p>
        </w:tc>
      </w:tr>
      <w:tr>
        <w:trPr>
          <w:trHeight w:val="148"/>
        </w:trPr>
        <w:tc>
          <w:tcPr>
            <w:tcW w:w="7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2"/>
                <w:szCs w:val="12"/>
                <w:color w:val="auto"/>
              </w:rPr>
            </w:pPr>
          </w:p>
        </w:tc>
      </w:tr>
      <w:tr>
        <w:trPr>
          <w:trHeight w:val="149"/>
        </w:trPr>
        <w:tc>
          <w:tcPr>
            <w:tcW w:w="75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Accretion of interest on marketable securities</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0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(163)</w:t>
            </w:r>
          </w:p>
        </w:tc>
      </w:tr>
      <w:tr>
        <w:trPr>
          <w:trHeight w:val="148"/>
        </w:trPr>
        <w:tc>
          <w:tcPr>
            <w:tcW w:w="7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5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(2,294)</w:t>
            </w: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1,379</w:t>
            </w:r>
          </w:p>
        </w:tc>
        <w:tc>
          <w:tcPr>
            <w:tcW w:w="100" w:type="dxa"/>
            <w:vAlign w:val="bottom"/>
          </w:tcPr>
          <w:p>
            <w:pPr>
              <w:spacing w:after="0"/>
              <w:rPr>
                <w:sz w:val="12"/>
                <w:szCs w:val="12"/>
                <w:color w:val="auto"/>
              </w:rPr>
            </w:pPr>
          </w:p>
        </w:tc>
      </w:tr>
      <w:tr>
        <w:trPr>
          <w:trHeight w:val="148"/>
        </w:trPr>
        <w:tc>
          <w:tcPr>
            <w:tcW w:w="75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9,632</w:t>
            </w:r>
          </w:p>
        </w:tc>
        <w:tc>
          <w:tcPr>
            <w:tcW w:w="100" w:type="dxa"/>
            <w:vAlign w:val="bottom"/>
            <w:shd w:val="clear" w:color="auto" w:fill="CFF0FC"/>
          </w:tcPr>
          <w:p>
            <w:pPr>
              <w:spacing w:after="0"/>
              <w:rPr>
                <w:sz w:val="12"/>
                <w:szCs w:val="12"/>
                <w:color w:val="auto"/>
              </w:rPr>
            </w:pPr>
          </w:p>
        </w:tc>
      </w:tr>
      <w:tr>
        <w:trPr>
          <w:trHeight w:val="149"/>
        </w:trPr>
        <w:tc>
          <w:tcPr>
            <w:tcW w:w="7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100" w:type="dxa"/>
            <w:vAlign w:val="bottom"/>
          </w:tcPr>
          <w:p>
            <w:pPr>
              <w:spacing w:after="0"/>
              <w:rPr>
                <w:sz w:val="12"/>
                <w:szCs w:val="12"/>
                <w:color w:val="auto"/>
              </w:rPr>
            </w:pPr>
          </w:p>
        </w:tc>
      </w:tr>
      <w:tr>
        <w:trPr>
          <w:trHeight w:val="148"/>
        </w:trPr>
        <w:tc>
          <w:tcPr>
            <w:tcW w:w="75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6,149</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(8,392)</w:t>
            </w:r>
          </w:p>
        </w:tc>
      </w:tr>
      <w:tr>
        <w:trPr>
          <w:trHeight w:val="148"/>
        </w:trPr>
        <w:tc>
          <w:tcPr>
            <w:tcW w:w="7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0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(1,648)</w:t>
            </w:r>
          </w:p>
        </w:tc>
      </w:tr>
      <w:tr>
        <w:trPr>
          <w:trHeight w:val="148"/>
        </w:trPr>
        <w:tc>
          <w:tcPr>
            <w:tcW w:w="75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FF0FC"/>
          </w:tcPr>
          <w:p>
            <w:pPr>
              <w:spacing w:after="0"/>
              <w:rPr>
                <w:sz w:val="12"/>
                <w:szCs w:val="12"/>
                <w:color w:val="auto"/>
              </w:rPr>
            </w:pPr>
          </w:p>
        </w:tc>
      </w:tr>
      <w:tr>
        <w:trPr>
          <w:trHeight w:val="148"/>
        </w:trPr>
        <w:tc>
          <w:tcPr>
            <w:tcW w:w="7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Warranty liability</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2"/>
                <w:szCs w:val="12"/>
                <w:color w:val="auto"/>
              </w:rPr>
            </w:pPr>
          </w:p>
        </w:tc>
      </w:tr>
      <w:tr>
        <w:trPr>
          <w:trHeight w:val="148"/>
        </w:trPr>
        <w:tc>
          <w:tcPr>
            <w:tcW w:w="75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0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(641)</w:t>
            </w:r>
          </w:p>
        </w:tc>
      </w:tr>
      <w:tr>
        <w:trPr>
          <w:trHeight w:val="149"/>
        </w:trPr>
        <w:tc>
          <w:tcPr>
            <w:tcW w:w="75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2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2"/>
        </w:trPr>
        <w:tc>
          <w:tcPr>
            <w:tcW w:w="754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200" w:type="dxa"/>
            <w:vAlign w:val="bottom"/>
            <w:gridSpan w:val="2"/>
            <w:shd w:val="clear" w:color="auto" w:fill="CFF0FC"/>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7,242</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(12,872)</w:t>
            </w:r>
          </w:p>
        </w:tc>
      </w:tr>
      <w:tr>
        <w:trPr>
          <w:trHeight w:val="142"/>
        </w:trPr>
        <w:tc>
          <w:tcPr>
            <w:tcW w:w="75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Borders>
              <w:top w:val="single" w:sz="8" w:color="CFF0F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9"/>
        </w:trPr>
        <w:tc>
          <w:tcPr>
            <w:tcW w:w="7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marketable securities</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(19,025)</w:t>
            </w:r>
          </w:p>
        </w:tc>
        <w:tc>
          <w:tcPr>
            <w:tcW w:w="10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7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0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(418)</w:t>
            </w:r>
          </w:p>
        </w:tc>
      </w:tr>
      <w:tr>
        <w:trPr>
          <w:trHeight w:val="148"/>
        </w:trPr>
        <w:tc>
          <w:tcPr>
            <w:tcW w:w="75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200" w:type="dxa"/>
            <w:vAlign w:val="bottom"/>
            <w:tcBorders>
              <w:bottom w:val="single" w:sz="8" w:color="CFF0FC"/>
              <w:right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9,625</w:t>
            </w:r>
          </w:p>
        </w:tc>
        <w:tc>
          <w:tcPr>
            <w:tcW w:w="2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54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200" w:type="dxa"/>
            <w:vAlign w:val="bottom"/>
            <w:gridSpan w:val="2"/>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(9,643)</w:t>
            </w:r>
          </w:p>
        </w:tc>
        <w:tc>
          <w:tcPr>
            <w:tcW w:w="1020" w:type="dxa"/>
            <w:vAlign w:val="bottom"/>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23,350</w:t>
            </w:r>
          </w:p>
        </w:tc>
        <w:tc>
          <w:tcPr>
            <w:tcW w:w="100" w:type="dxa"/>
            <w:vAlign w:val="bottom"/>
          </w:tcPr>
          <w:p>
            <w:pPr>
              <w:spacing w:after="0"/>
              <w:rPr>
                <w:sz w:val="12"/>
                <w:szCs w:val="12"/>
                <w:color w:val="auto"/>
              </w:rPr>
            </w:pPr>
          </w:p>
        </w:tc>
      </w:tr>
      <w:tr>
        <w:trPr>
          <w:trHeight w:val="142"/>
        </w:trPr>
        <w:tc>
          <w:tcPr>
            <w:tcW w:w="7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2"/>
                <w:szCs w:val="12"/>
                <w:color w:val="auto"/>
              </w:rPr>
            </w:pPr>
          </w:p>
        </w:tc>
      </w:tr>
      <w:tr>
        <w:trPr>
          <w:trHeight w:val="148"/>
        </w:trPr>
        <w:tc>
          <w:tcPr>
            <w:tcW w:w="75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at-the-market offering</w:t>
            </w:r>
          </w:p>
        </w:tc>
        <w:tc>
          <w:tcPr>
            <w:tcW w:w="200" w:type="dxa"/>
            <w:vAlign w:val="bottom"/>
            <w:tcBorders>
              <w:right w:val="single" w:sz="8" w:color="CFF0FC"/>
            </w:tcBorders>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773</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7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tax withholdings on restricted stock awards</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540" w:type="dxa"/>
            <w:vAlign w:val="bottom"/>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0" w:type="dxa"/>
            <w:vAlign w:val="bottom"/>
            <w:gridSpan w:val="2"/>
            <w:shd w:val="clear" w:color="auto" w:fill="CFF0FC"/>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867</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FF0FC"/>
          </w:tcPr>
          <w:p>
            <w:pPr>
              <w:spacing w:after="0"/>
              <w:rPr>
                <w:sz w:val="12"/>
                <w:szCs w:val="12"/>
                <w:color w:val="auto"/>
              </w:rPr>
            </w:pPr>
          </w:p>
        </w:tc>
      </w:tr>
      <w:tr>
        <w:trPr>
          <w:trHeight w:val="20"/>
        </w:trPr>
        <w:tc>
          <w:tcPr>
            <w:tcW w:w="754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7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(1,534)</w:t>
            </w:r>
          </w:p>
        </w:tc>
        <w:tc>
          <w:tcPr>
            <w:tcW w:w="102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10,738</w:t>
            </w:r>
          </w:p>
        </w:tc>
        <w:tc>
          <w:tcPr>
            <w:tcW w:w="100" w:type="dxa"/>
            <w:vAlign w:val="bottom"/>
          </w:tcPr>
          <w:p>
            <w:pPr>
              <w:spacing w:after="0"/>
              <w:rPr>
                <w:sz w:val="12"/>
                <w:szCs w:val="12"/>
                <w:color w:val="auto"/>
              </w:rPr>
            </w:pPr>
          </w:p>
        </w:tc>
      </w:tr>
      <w:tr>
        <w:trPr>
          <w:trHeight w:val="149"/>
        </w:trPr>
        <w:tc>
          <w:tcPr>
            <w:tcW w:w="754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00" w:type="dxa"/>
            <w:vAlign w:val="bottom"/>
            <w:tcBorders>
              <w:bottom w:val="single" w:sz="8" w:color="CFF0FC"/>
              <w:right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11,746</w:t>
            </w:r>
          </w:p>
        </w:tc>
        <w:tc>
          <w:tcPr>
            <w:tcW w:w="2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4,405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7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200" w:type="dxa"/>
            <w:vAlign w:val="bottom"/>
            <w:gridSpan w:val="2"/>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10,212</w:t>
            </w:r>
          </w:p>
        </w:tc>
        <w:tc>
          <w:tcPr>
            <w:tcW w:w="260" w:type="dxa"/>
            <w:vAlign w:val="bottom"/>
          </w:tcPr>
          <w:p>
            <w:pPr>
              <w:spacing w:after="0"/>
              <w:rPr>
                <w:sz w:val="12"/>
                <w:szCs w:val="12"/>
                <w:color w:val="auto"/>
              </w:rPr>
            </w:pPr>
          </w:p>
        </w:tc>
        <w:tc>
          <w:tcPr>
            <w:tcW w:w="1020" w:type="dxa"/>
            <w:vAlign w:val="bottom"/>
          </w:tcPr>
          <w:p>
            <w:pPr>
              <w:jc w:val="right"/>
              <w:ind w:right="8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15,143</w:t>
            </w:r>
          </w:p>
        </w:tc>
        <w:tc>
          <w:tcPr>
            <w:tcW w:w="100" w:type="dxa"/>
            <w:vAlign w:val="bottom"/>
          </w:tcPr>
          <w:p>
            <w:pPr>
              <w:spacing w:after="0"/>
              <w:rPr>
                <w:sz w:val="12"/>
                <w:szCs w:val="12"/>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-1302385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-916940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-325120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260" w:type="dxa"/>
            <w:vAlign w:val="bottom"/>
            <w:gridSpan w:val="2"/>
          </w:tcPr>
          <w:p>
            <w:pPr>
              <w:jc w:val="right"/>
              <w:ind w:right="9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w:t>
            </w:r>
          </w:p>
        </w:tc>
        <w:tc>
          <w:tcPr>
            <w:tcW w:w="260" w:type="dxa"/>
            <w:vAlign w:val="bottom"/>
          </w:tcPr>
          <w:p>
            <w:pPr>
              <w:spacing w:after="0"/>
              <w:rPr>
                <w:sz w:val="12"/>
                <w:szCs w:val="12"/>
                <w:color w:val="auto"/>
              </w:rPr>
            </w:pPr>
          </w:p>
        </w:tc>
        <w:tc>
          <w:tcPr>
            <w:tcW w:w="1080" w:type="dxa"/>
            <w:vAlign w:val="bottom"/>
          </w:tcPr>
          <w:p>
            <w:pPr>
              <w:jc w:val="right"/>
              <w:ind w:right="9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4"/>
                <w:szCs w:val="14"/>
                <w:color w:val="auto"/>
              </w:rPr>
              <w:t>Cash paid for income taxes</w:t>
            </w:r>
          </w:p>
        </w:tc>
        <w:tc>
          <w:tcPr>
            <w:tcW w:w="1260" w:type="dxa"/>
            <w:vAlign w:val="bottom"/>
            <w:gridSpan w:val="2"/>
            <w:shd w:val="clear" w:color="auto" w:fill="CFF0FC"/>
          </w:tcPr>
          <w:p>
            <w:pPr>
              <w:jc w:val="right"/>
              <w:ind w:right="9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9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180" w:type="dxa"/>
            <w:vAlign w:val="bottom"/>
            <w:tcBorders>
              <w:top w:val="single" w:sz="8" w:color="CFF0FC"/>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5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right of use assets obtained in exchange for operating lease liabilities</w:t>
            </w:r>
          </w:p>
        </w:tc>
        <w:tc>
          <w:tcPr>
            <w:tcW w:w="1260" w:type="dxa"/>
            <w:vAlign w:val="bottom"/>
            <w:gridSpan w:val="2"/>
            <w:shd w:val="clear" w:color="auto" w:fill="CFF0FC"/>
          </w:tcPr>
          <w:p>
            <w:pPr>
              <w:jc w:val="right"/>
              <w:ind w:right="9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2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9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54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Property and equipment in accounts payable</w:t>
            </w:r>
          </w:p>
        </w:tc>
        <w:tc>
          <w:tcPr>
            <w:tcW w:w="1260" w:type="dxa"/>
            <w:vAlign w:val="bottom"/>
            <w:gridSpan w:val="2"/>
          </w:tcPr>
          <w:p>
            <w:pPr>
              <w:jc w:val="right"/>
              <w:ind w:right="9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9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54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4"/>
                <w:szCs w:val="14"/>
                <w:color w:val="auto"/>
              </w:rPr>
              <w:t>Non-cash consideration paid for fSight acquisition</w:t>
            </w:r>
          </w:p>
        </w:tc>
        <w:tc>
          <w:tcPr>
            <w:tcW w:w="1260" w:type="dxa"/>
            <w:vAlign w:val="bottom"/>
            <w:gridSpan w:val="2"/>
            <w:shd w:val="clear" w:color="auto" w:fill="CFF0FC"/>
          </w:tcPr>
          <w:p>
            <w:pPr>
              <w:jc w:val="right"/>
              <w:ind w:right="9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9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54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Contingent shares liability from fSight acquisition</w:t>
            </w:r>
          </w:p>
        </w:tc>
        <w:tc>
          <w:tcPr>
            <w:tcW w:w="1260" w:type="dxa"/>
            <w:vAlign w:val="bottom"/>
            <w:gridSpan w:val="2"/>
          </w:tcPr>
          <w:p>
            <w:pPr>
              <w:jc w:val="right"/>
              <w:ind w:right="9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9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54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4"/>
                <w:szCs w:val="14"/>
                <w:color w:val="auto"/>
              </w:rPr>
              <w:t>Unrealized (loss) gain resulting from change in fair value of marketable securities</w:t>
            </w:r>
          </w:p>
        </w:tc>
        <w:tc>
          <w:tcPr>
            <w:tcW w:w="1260" w:type="dxa"/>
            <w:vAlign w:val="bottom"/>
            <w:gridSpan w:val="2"/>
            <w:shd w:val="clear" w:color="auto" w:fill="CFF0FC"/>
          </w:tcPr>
          <w:p>
            <w:pPr>
              <w:jc w:val="right"/>
              <w:ind w:right="9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(5)</w:t>
            </w:r>
          </w:p>
        </w:tc>
        <w:tc>
          <w:tcPr>
            <w:tcW w:w="1080" w:type="dxa"/>
            <w:vAlign w:val="bottom"/>
            <w:shd w:val="clear" w:color="auto" w:fill="CFF0FC"/>
          </w:tcPr>
          <w:p>
            <w:pPr>
              <w:jc w:val="right"/>
              <w:ind w:right="9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-719455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-702310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-504825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-488315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-264795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11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Tigo Energy, Inc. (f/k/a Roth CH Acquisition IV Co.) and subsidiaries (together, the “Company”) consists of Tigo Energy, Inc. (“Tigo”), its wholly-owned direct and indirect subsidiaries: Tigo Energy MergeCo, Inc. (f/k/a Tigo Energy, Inc.) (“Legacy Tigo”), Tigo Energy Brasil Ltda., Tigo Energy Philippines Inc., Tigo Energy Israel Ltd., Tigo Energy AI Ltd. (f/k/a Foresight Energy, Ltd. (“fSight”)), Tigo Energy Italy SRL, Tigo Energy Equipment Trading (Suzhou) Co., Ltd. and Tigo Energy Australia Pty Ltd. Prior to the consummation of the Business Combination (as defined below), the operations of the Company were conducted through Legacy Tigo. Legacy Tigo was incorporated in Delaware in 2007 and commenced operations in 2010.</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provides solar and energy storage solutions, including module level power electronics (“MLPE”) designed to maximize the energy output of individual solar modules, delivering more energy, active management, and enhanced safety for utility, commercial, and residential solar arrays. By combining its MLPE and solar optimizer technology with intelligent, cloud-based software capabilities, the Company enables advanced energy monitoring, system diagnostics, and real-time control. These smart hardware and software solutions enhance system performance, lower operating costs, and ensure compliance with safety regulations, including rapid shutdown requirements. In addition to MLPE, the Company develops and manufactures inverters and battery storage systems for the residential solar-plus storage market, further expanding its suite of solutions for efficient and reliable energy management. The Company is headquartered in Los Gatos, California, with offices in Europe, Asia, and the Middle East.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 Material Definitive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December 5, 2022, Roth CH Acquisition IV Co., a Delaware corporation (“ROCG”), Roth IV Merger Sub Inc., a Delaware corporation and a wholly-owned subsidiary of ROCG (“Merger Sub”), and Legacy Tigo, entered into an Agreement and Plan of Merger, as amended on April 6, 2023 (the “Merger Agreement”), pursuant to which, among other transactions, on May 23, 2023 (the “Closing Date”), Merger Sub merged with and into Legacy Tigo (the “Merger”), with Legacy Tigo surviving the Merger as a wholly-owned subsidiary of ROCG (the Merger, together with the other transactions described in the Merger Agreement, the “Business Combination”). In connection with the closing of the Business Combination, ROCG changed its name to “Tigo Energy, Inc.”</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the merger between ROCG and Legacy Tigo was accounted for as a reverse recapitalization in accordance with U.S. GAAP (the “Reverse Recapitalization”). Under this method of accounting, ROCG was treated as the “acquired” company for financial reporting purposes. Accordingly, for accounting purposes, the Reverse Recapitalization was treated as the equivalent of Legacy Tigo issuing stock for the net assets of ROCG, accompanied by a recapitalization. The financial statements of the Company represent a continuation of the financial statements of Legacy Tigo with the Business Combination being treated as the equivalent of Legacy Tigo issuing stock for the net assets of ROCG, accompanied by a recapitalization.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Any reference in these notes to applicable guidance is meant to refer to GAAP as found in the Accounting Standards Codification (“ASC”) and Accounting Standards Updates (“ASU”) promulgated by the Financial Accounting Standards Board (“FASB”). The condensed consolidated financial statements include the accounts of the Company and its wholly-owned subsidiaries. All intercompany balances and transactions have been eliminated in consolidation.</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determined the functional currency of the subsidiaries to be the U.S. dollar. The Company remeasures monetary assets and liabilities of its foreign operations at exchange rates in effect at the balance sheet date and nonmonetary assets and liabilities at their historical exchange rates. Expenses are remeasured at the weighted-average exchange rates during the relevant reporting period. These remeasurement gains and losses are recorded in other income, net in the condensed consolidated statements of operations and comprehensive loss and were not material for the three and six months ended June 30, 2025, and 2024.</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include all normal and recurring adjustments (which consist primarily of accruals, estimates and assumptions that impact the unaudited condensed consolidated financial statements) considered necessary to present fairly Tigo’s condensed consolidated balance sheet as of June 30, 2025 and its condensed consolidated statements of operations and comprehensive loss, cash flows, and stockholders’ equity for the three and six months ended June 30, 2025, and 2024. Operating results for the three and six months ended June 30, 2025, are not necessarily indicative of the results that may be expected for the full year ending December 31, 2025. The unaudited condensed consolidated financial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presented herein, do not contain all of the required disclosures under GAAP for annual consolidated financial statements. The condensed consolidated balance sheet as of December 31, 2024, has been derived from the audited consolidated balance sheet as of that date. These unaudited condensed consolidated financial statements should be read in conjunction with the audited consolidated financial statements and notes thereto included in our Annual Report on Form 10-K for the year ended December 31, 2024, which was filed with the SEC on March 20, 2025.</w:t>
      </w:r>
    </w:p>
    <w:p>
      <w:pPr>
        <w:spacing w:after="0" w:line="284"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its audited consolidated financial statements for the year ended December 31, 2024, which are included in the Company’s Annual Report on Form 10-K filed with the SEC on March 20,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1F1F"/>
        </w:rPr>
        <w:t>Liquidity and Going Concern</w:t>
      </w:r>
    </w:p>
    <w:p>
      <w:pPr>
        <w:spacing w:after="0" w:line="11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ASU No. 2014-15, “Disclosure of Uncertainties about an Entity’s Ability to Continue as a Going Concern”</w:t>
      </w:r>
      <w:r>
        <w:rPr>
          <w:rFonts w:ascii="Times New Roman" w:cs="Times New Roman" w:eastAsia="Times New Roman" w:hAnsi="Times New Roman"/>
          <w:sz w:val="18"/>
          <w:szCs w:val="18"/>
          <w:color w:val="auto"/>
        </w:rPr>
        <w:t xml:space="preserve">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0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June 30, 2025, the Company had cash and cash equivalents of $10.2 million and negative net working capital, which we define as current assets less current liabilities, of $7.7 million. The Convertible Promissory Note (as defined in Note 7, “Debt,” below), has an aggregate principal amount outstanding of $50.0 million as of June 30, 2025, and a maturity date of January 9, 2026. As of the date of this filing, the Company does not have sufficient cash, cash equivalents and marketable securities to repay this obligation. Management determined as a result of this evaluation, the Company’s current cash, net working capital position, and the upcoming maturity date of its Convertible Promissory Note, raises substantial doubt about the Company’s ability to continue as a going concern.</w:t>
      </w:r>
    </w:p>
    <w:p>
      <w:pPr>
        <w:spacing w:after="0" w:line="10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exploring options for the refinancing of, or other transactions to facilitate the payment of, the Convertible Promissory Note. The Company’s ability to raise capital may be constrained by the price of and demand for the Company’s common stock. Additional capital may not be available on favorable terms or at all, and could further dilute our current stockholders. Management cannot conclude as of the date of this filing that its plans are probable of being successfully implemented. There can be no assurance that the Company will be able to raise sufficient additional capital or obtain financing that will provide it with sufficient liquidity to satisfy its Convertible Promissory Note obligation in January 2026.</w:t>
      </w:r>
    </w:p>
    <w:p>
      <w:pPr>
        <w:spacing w:after="0" w:line="11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on a basis that assumes the Company will continue as a going concern which contemplates the realization of assets and satisfaction of liabilities and commitments in the ordinary course of business. Accordingly, the accompanying condensed consolidated financial statements do not include any adjustments that might result from the outcome of this uncertainty.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The preparation of the condensed consolidated financial statements, in conformity with GAAP, requires management to </w:t>
      </w:r>
      <w:r>
        <w:rPr>
          <w:rFonts w:ascii="Times New Roman" w:cs="Times New Roman" w:eastAsia="Times New Roman" w:hAnsi="Times New Roman"/>
          <w:sz w:val="18"/>
          <w:szCs w:val="18"/>
          <w:color w:val="000000"/>
        </w:rPr>
        <w:t>make estimates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assumptions that affect the reported amounts of assets and liabilities, disclosure of contingent assets and liabilities at the date of the condensed consolidated financial statements and the reported amounts of revenue and expenses during the reporting period. Key estimates in the condensed consolidated financial statements include revenue recognition, fair value of investments, allowance for credit allowances, inventory valuation, impairment of long-lived assets, fair value of acquired intangible assets and goodwill, useful lives of acquired intangible assets and property and equipment, product warranty liabilities, incremental borrowing rate for right of use assets and lease liability, valuation allowance on deferred tax assets, assessment of probability of vesting of performance-based equity awards </w:t>
      </w:r>
      <w:r>
        <w:rPr>
          <w:rFonts w:ascii="Times New Roman" w:cs="Times New Roman" w:eastAsia="Times New Roman" w:hAnsi="Times New Roman"/>
          <w:sz w:val="18"/>
          <w:szCs w:val="18"/>
          <w:color w:val="231F20"/>
        </w:rPr>
        <w:t>and stock-based compensation, including the underlying fair value of the common stock.</w:t>
      </w:r>
      <w:r>
        <w:rPr>
          <w:rFonts w:ascii="Times New Roman" w:cs="Times New Roman" w:eastAsia="Times New Roman" w:hAnsi="Times New Roman"/>
          <w:sz w:val="18"/>
          <w:szCs w:val="18"/>
          <w:color w:val="000000"/>
        </w:rPr>
        <w:t xml:space="preserve"> These estimates are based on information available as of the date of the financial statements; therefore, actual results could differ materially from those estimates due to risks and uncertainties.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Company’s CODM is the Chief Executive Officer (the “CEO”). The Company has one business activity — the design, development and sale of solar energy optimization solutions. There are no segment managers who are held accountable for operations, operating results or plans for levels or components below the consolidated unit level. Accordingly, management has determined that the Company has a single operating and reportable segment. The CODM assesses performance for the Company, monitors budget versus actual results and determines how to allocate resources based on consolidated net loss as reported in the condensed consolidated statements of operations and comprehensive loss. There are no other significant expense categories regularly provided to the CODM that are not already included in the primary financial statements herein.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i w:val="1"/>
          <w:iCs w:val="1"/>
          <w:color w:val="auto"/>
        </w:rPr>
        <w:t>ASU No. 2023-09, “Improvements to Income Tax Disclosures”</w:t>
      </w:r>
      <w:r>
        <w:rPr>
          <w:rFonts w:ascii="Times New Roman" w:cs="Times New Roman" w:eastAsia="Times New Roman" w:hAnsi="Times New Roman"/>
          <w:sz w:val="18"/>
          <w:szCs w:val="18"/>
          <w:color w:val="auto"/>
        </w:rPr>
        <w:t xml:space="preserve"> (“Topic 740”). This ASU requires disaggregated information about a reporting entity’s effective tax rate reconciliation as well as additional information on income taxes paid. The ASU is effective on a prospective basis for annual periods beginning after December 15, 2024, although retrospective application is permitted. Early adoption is also permitted for annual financial statements that have not yet been issued or made available for issuance. The Company is currently evaluating the impact that adopting this ASU will have on the Company’s income tax-related disclosures.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(“Subtopic 220-40”)</w:t>
      </w:r>
      <w:r>
        <w:rPr>
          <w:rFonts w:ascii="Times New Roman" w:cs="Times New Roman" w:eastAsia="Times New Roman" w:hAnsi="Times New Roman"/>
          <w:sz w:val="18"/>
          <w:szCs w:val="18"/>
          <w:i w:val="1"/>
          <w:iCs w:val="1"/>
          <w:color w:val="auto"/>
        </w:rPr>
        <w:t xml:space="preserve">: Disaggregation of Income (Loss) Statement Expenses” </w:t>
      </w:r>
      <w:r>
        <w:rPr>
          <w:rFonts w:ascii="Times New Roman" w:cs="Times New Roman" w:eastAsia="Times New Roman" w:hAnsi="Times New Roman"/>
          <w:sz w:val="18"/>
          <w:szCs w:val="18"/>
          <w:color w:val="auto"/>
        </w:rPr>
        <w:t>(“ASU 2024-03”). ASU 2024-03 requires disaggregation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certain costs and expenses included in each relevant expense caption on the Company’s </w:t>
      </w:r>
      <w:r>
        <w:rPr>
          <w:rFonts w:ascii="Times New Roman" w:cs="Times New Roman" w:eastAsia="Times New Roman" w:hAnsi="Times New Roman"/>
          <w:sz w:val="18"/>
          <w:szCs w:val="18"/>
          <w:color w:val="231F20"/>
        </w:rPr>
        <w:t>condensed consolidated statements of operations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comprehensive loss </w:t>
      </w:r>
      <w:r>
        <w:rPr>
          <w:rFonts w:ascii="Times New Roman" w:cs="Times New Roman" w:eastAsia="Times New Roman" w:hAnsi="Times New Roman"/>
          <w:sz w:val="18"/>
          <w:szCs w:val="18"/>
          <w:color w:val="000000"/>
        </w:rPr>
        <w:t>in a separate note to the financial statements at each interim and annual reporting period, including amounts of purchases of inventory,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employee compensation, depreciation, and intangible asset amortization. ASU 2024-04 is effective fiscal years beginning after December 15, 2026, and interim reporting periods within annual reporting periods beginning after December 15, 2027, with early adoption permitted. The Company is currently evaluating the impact of adopting ASU 2024-03.</w:t>
      </w:r>
    </w:p>
    <w:p>
      <w:pPr>
        <w:spacing w:after="0" w:line="28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without consideration for potential dilutive shares of common stock. Diluted net loss per share of common stock is computed by dividing the net loss by the weighted-average number of common share equivalents outstanding for the period determined using the treasury-stock method and if-converted method, as applicable. In periods in which the Company reports a net loss, diluted net loss per share will be the same as basic net loss per share since dilutive shares are not assumed to have been issued if their effect is antidilutive. As a result, for the periods in which the Company experienced a net loss, the weighted-average shares used to calculate both basic and diluted net loss per share are the same.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to common stockholders: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5"/>
                <w:szCs w:val="15"/>
                <w:color w:val="auto"/>
              </w:rPr>
            </w:pPr>
          </w:p>
        </w:tc>
        <w:tc>
          <w:tcPr>
            <w:tcW w:w="27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8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(11,431)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(22,827)</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0" w:type="dxa"/>
            <w:vAlign w:val="bottom"/>
            <w:gridSpan w:val="2"/>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outstanding – basic</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62,290,411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60,363,680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61,977,574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59,874,991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excluded the effect of the below elements from our calculation of diluted loss per share, as their inclusion would have been anti-dilutive. These amounts represent the number of instruments outstanding at the end of the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Borders>
              <w:bottom w:val="single" w:sz="8" w:color="auto"/>
            </w:tcBorders>
          </w:tcPr>
          <w:p>
            <w:pPr>
              <w:jc w:val="right"/>
              <w:ind w:right="6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Outstanding stock options, performance stock units and restricted stock units</w:t>
            </w:r>
          </w:p>
        </w:tc>
        <w:tc>
          <w:tcPr>
            <w:tcW w:w="390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4,501,506</w:t>
            </w:r>
          </w:p>
        </w:tc>
        <w:tc>
          <w:tcPr>
            <w:tcW w:w="4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3,267,452</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920" w:type="dxa"/>
            <w:vAlign w:val="bottom"/>
            <w:gridSpan w:val="2"/>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5,305,861</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5,305,861</w:t>
            </w:r>
          </w:p>
        </w:tc>
        <w:tc>
          <w:tcPr>
            <w:tcW w:w="100" w:type="dxa"/>
            <w:vAlign w:val="bottom"/>
          </w:tcPr>
          <w:p>
            <w:pPr>
              <w:spacing w:after="0"/>
              <w:rPr>
                <w:sz w:val="18"/>
                <w:szCs w:val="18"/>
                <w:color w:val="auto"/>
              </w:rPr>
            </w:pPr>
          </w:p>
        </w:tc>
      </w:tr>
      <w:tr>
        <w:trPr>
          <w:trHeight w:val="250"/>
        </w:trPr>
        <w:tc>
          <w:tcPr>
            <w:tcW w:w="5560" w:type="dxa"/>
            <w:vAlign w:val="bottom"/>
            <w:shd w:val="clear" w:color="auto" w:fill="CFF0FC"/>
          </w:tcPr>
          <w:p>
            <w:pPr>
              <w:spacing w:after="0"/>
              <w:rPr>
                <w:sz w:val="21"/>
                <w:szCs w:val="21"/>
                <w:color w:val="auto"/>
              </w:rPr>
            </w:pPr>
          </w:p>
        </w:tc>
        <w:tc>
          <w:tcPr>
            <w:tcW w:w="390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9,807,367</w:t>
            </w:r>
          </w:p>
        </w:tc>
        <w:tc>
          <w:tcPr>
            <w:tcW w:w="4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8,573,313</w:t>
            </w:r>
          </w:p>
        </w:tc>
      </w:tr>
      <w:tr>
        <w:trPr>
          <w:trHeight w:val="520"/>
        </w:trPr>
        <w:tc>
          <w:tcPr>
            <w:tcW w:w="5560" w:type="dxa"/>
            <w:vAlign w:val="bottom"/>
            <w:tcBorders>
              <w:top w:val="single" w:sz="8" w:color="CFF0FC"/>
            </w:tcBorders>
          </w:tcPr>
          <w:p>
            <w:pPr>
              <w:spacing w:after="0"/>
              <w:rPr>
                <w:sz w:val="24"/>
                <w:szCs w:val="24"/>
                <w:color w:val="auto"/>
              </w:rPr>
            </w:pPr>
          </w:p>
        </w:tc>
        <w:tc>
          <w:tcPr>
            <w:tcW w:w="1720" w:type="dxa"/>
            <w:vAlign w:val="bottom"/>
            <w:tcBorders>
              <w:top w:val="single" w:sz="8" w:color="CFF0FC"/>
            </w:tcBorders>
          </w:tcPr>
          <w:p>
            <w:pPr>
              <w:jc w:val="right"/>
              <w:ind w:right="1530"/>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Borders>
              <w:top w:val="single" w:sz="8" w:color="CFF0FC"/>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5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-864870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-847725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1F1F"/>
        </w:rPr>
        <w:t>Fair Value Measurements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its financial assets and liabilities at fair value on a recurring basis using a hierarchy that prioritizes the inputs to valuation techniques used to measure fair value. Authoritative guidance establishes three levels of the fair value hierarchy as follows:</w:t>
      </w:r>
    </w:p>
    <w:p>
      <w:pPr>
        <w:spacing w:after="0" w:line="160"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Quoted market prices in active markets for identical assets or liabilities;</w:t>
      </w:r>
    </w:p>
    <w:p>
      <w:pPr>
        <w:spacing w:after="0" w:line="117" w:lineRule="exact"/>
        <w:rPr>
          <w:sz w:val="20"/>
          <w:szCs w:val="20"/>
          <w:color w:val="auto"/>
        </w:rPr>
      </w:pPr>
    </w:p>
    <w:p>
      <w:pPr>
        <w:ind w:left="1140" w:right="240" w:hanging="750"/>
        <w:spacing w:after="0" w:line="282" w:lineRule="auto"/>
        <w:tabs>
          <w:tab w:leader="none" w:pos="112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Quoted prices for similar instruments in active markets; quoted prices for identical or similar instruments in markets that are not active; and model-derived valuations in which significant inputs and significant value drivers are observable in active markets; and</w:t>
      </w:r>
    </w:p>
    <w:p>
      <w:pPr>
        <w:spacing w:after="0" w:line="54" w:lineRule="exact"/>
        <w:rPr>
          <w:sz w:val="20"/>
          <w:szCs w:val="20"/>
          <w:color w:val="auto"/>
        </w:rPr>
      </w:pPr>
    </w:p>
    <w:p>
      <w:pPr>
        <w:ind w:left="1140" w:right="240" w:hanging="750"/>
        <w:spacing w:after="0" w:line="282" w:lineRule="auto"/>
        <w:tabs>
          <w:tab w:leader="none" w:pos="112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Fair value measurements derived from valuation techniques in which one or more significant inputs or significant value drivers are unobservable.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24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1240" w:type="dxa"/>
            <w:vAlign w:val="bottom"/>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securities</w:t>
            </w:r>
          </w:p>
        </w:tc>
        <w:tc>
          <w:tcPr>
            <w:tcW w:w="1240" w:type="dxa"/>
            <w:vAlign w:val="bottom"/>
            <w:shd w:val="clear" w:color="auto" w:fill="CFF0FC"/>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agency securities</w:t>
            </w:r>
          </w:p>
        </w:tc>
        <w:tc>
          <w:tcPr>
            <w:tcW w:w="1240" w:type="dxa"/>
            <w:vAlign w:val="bottom"/>
            <w:shd w:val="clear" w:color="auto" w:fill="CFF0FC"/>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accounts</w:t>
            </w:r>
          </w:p>
        </w:tc>
        <w:tc>
          <w:tcPr>
            <w:tcW w:w="1240" w:type="dxa"/>
            <w:vAlign w:val="bottom"/>
            <w:shd w:val="clear" w:color="auto" w:fill="CFF0FC"/>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4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 agency securities</w:t>
            </w:r>
          </w:p>
        </w:tc>
        <w:tc>
          <w:tcPr>
            <w:tcW w:w="1240" w:type="dxa"/>
            <w:vAlign w:val="bottom"/>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Corporate bonds</w:t>
            </w:r>
          </w:p>
        </w:tc>
        <w:tc>
          <w:tcPr>
            <w:tcW w:w="1240" w:type="dxa"/>
            <w:vAlign w:val="bottom"/>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agency securities</w:t>
            </w:r>
          </w:p>
        </w:tc>
        <w:tc>
          <w:tcPr>
            <w:tcW w:w="1240" w:type="dxa"/>
            <w:vAlign w:val="bottom"/>
            <w:shd w:val="clear" w:color="auto" w:fill="CFF0FC"/>
          </w:tcPr>
          <w:p>
            <w:pPr>
              <w:jc w:val="right"/>
              <w:ind w:right="107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and six months ended June 30, 2025, there were no transfers between Level 1, Level 2 and Level 3.</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changes in fair value of the Company’s marketable securities as of June 30, 2025, and December 31, 2024,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380" w:type="dxa"/>
            <w:vAlign w:val="bottom"/>
            <w:vMerge w:val="continue"/>
          </w:tcPr>
          <w:p>
            <w:pPr>
              <w:spacing w:after="0"/>
              <w:rPr>
                <w:sz w:val="13"/>
                <w:szCs w:val="13"/>
                <w:color w:val="auto"/>
              </w:rPr>
            </w:pPr>
          </w:p>
        </w:tc>
        <w:tc>
          <w:tcPr>
            <w:tcW w:w="1620" w:type="dxa"/>
            <w:vAlign w:val="bottom"/>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800" w:type="dxa"/>
            <w:vAlign w:val="bottom"/>
          </w:tcPr>
          <w:p>
            <w:pPr>
              <w:ind w:left="420"/>
              <w:spacing w:after="0" w:line="160" w:lineRule="exact"/>
              <w:rPr>
                <w:sz w:val="20"/>
                <w:szCs w:val="20"/>
                <w:color w:val="auto"/>
              </w:rPr>
            </w:pPr>
            <w:r>
              <w:rPr>
                <w:rFonts w:ascii="Times New Roman" w:cs="Times New Roman" w:eastAsia="Times New Roman" w:hAnsi="Times New Roman"/>
                <w:sz w:val="14"/>
                <w:szCs w:val="14"/>
                <w:b w:val="1"/>
                <w:bCs w:val="1"/>
                <w:color w:val="auto"/>
              </w:rPr>
              <w:t>Unrealized gain</w:t>
            </w:r>
          </w:p>
        </w:tc>
        <w:tc>
          <w:tcPr>
            <w:tcW w:w="1800" w:type="dxa"/>
            <w:vAlign w:val="bottom"/>
          </w:tcPr>
          <w:p>
            <w:pPr>
              <w:ind w:left="400"/>
              <w:spacing w:after="0" w:line="160" w:lineRule="exact"/>
              <w:rPr>
                <w:sz w:val="20"/>
                <w:szCs w:val="20"/>
                <w:color w:val="auto"/>
              </w:rPr>
            </w:pPr>
            <w:r>
              <w:rPr>
                <w:rFonts w:ascii="Times New Roman" w:cs="Times New Roman" w:eastAsia="Times New Roman" w:hAnsi="Times New Roman"/>
                <w:sz w:val="14"/>
                <w:szCs w:val="14"/>
                <w:b w:val="1"/>
                <w:bCs w:val="1"/>
                <w:color w:val="auto"/>
              </w:rPr>
              <w:t>Unrealized loss</w:t>
            </w:r>
          </w:p>
        </w:tc>
        <w:tc>
          <w:tcPr>
            <w:tcW w:w="1540" w:type="dxa"/>
            <w:vAlign w:val="bottom"/>
          </w:tcPr>
          <w:p>
            <w:pPr>
              <w:ind w:left="48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Available-for-sale marketable securities: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3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196"/>
              <w:spacing w:after="0" w:line="160"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Unrealized gain</w:t>
            </w:r>
          </w:p>
        </w:tc>
        <w:tc>
          <w:tcPr>
            <w:tcW w:w="300" w:type="dxa"/>
            <w:vAlign w:val="bottom"/>
          </w:tcPr>
          <w:p>
            <w:pPr>
              <w:spacing w:after="0"/>
              <w:rPr>
                <w:sz w:val="13"/>
                <w:szCs w:val="13"/>
                <w:color w:val="auto"/>
              </w:rPr>
            </w:pPr>
          </w:p>
        </w:tc>
        <w:tc>
          <w:tcPr>
            <w:tcW w:w="12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Unrealized loss</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36"/>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-550545</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-550545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-550545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-550545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0637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Available-for-sale marketable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agency securities</w:t>
            </w:r>
          </w:p>
        </w:tc>
        <w:tc>
          <w:tcPr>
            <w:tcW w:w="5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available-for-sale marketable securities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4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-1010920</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-1010920</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all available-for-sale marketable securities consisted of investments that mature within one year.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cash and cash equivalents, marketable securities, accounts receivable, accounts payable, and customer deposits approximate fair value due to their short-term nature. As of June 30, 2025, the fair value and carrying value of the Company’s Convertible Promissory Note (Note 7) was $45.7 million and $45.0 million, respectively. The estimated fair value for the Company’s Convertible Promissory Note was based on discounted expected future cash flows using prevailing interest rates which are Level 3 inputs under the fair value hierarchy.</w:t>
      </w:r>
    </w:p>
    <w:p>
      <w:pPr>
        <w:spacing w:after="0" w:line="28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Net Revenue</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products in the Americas (North and South America), EMEA (Europe, Middle East, and Africa), and APAC (Asia-Pacific) regions.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net revenue by major geographic region: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4"/>
                <w:szCs w:val="24"/>
                <w:color w:val="auto"/>
                <w:vertAlign w:val="superscript"/>
              </w:rPr>
              <w:t>(1)</w:t>
            </w:r>
          </w:p>
        </w:tc>
        <w:tc>
          <w:tcPr>
            <w:tcW w:w="1180" w:type="dxa"/>
            <w:vAlign w:val="bottom"/>
            <w:gridSpan w:val="3"/>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2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2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12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APAC</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180" w:type="dxa"/>
            <w:vAlign w:val="bottom"/>
            <w:gridSpan w:val="3"/>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12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2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12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-170815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520" w:hanging="512"/>
        <w:spacing w:after="0" w:line="204" w:lineRule="auto"/>
        <w:tabs>
          <w:tab w:leader="none" w:pos="5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net revenues generated from Germany, the Czech Republic, and Italy represented 22.6%, 20.4%, and 10.8% of our total net revenue for the three months ended June 30, 2025, respectively. Our net revenues generated from Germany, the Czech Republic, the United Kingdom, and Italy represented 19.3%, 16.1%, 11.6%, and 10.9% of our total net revenue for the six months ended June 30, 2025, respectively.</w:t>
      </w:r>
    </w:p>
    <w:p>
      <w:pPr>
        <w:spacing w:after="0" w:line="2" w:lineRule="exact"/>
        <w:rPr>
          <w:rFonts w:ascii="Times New Roman" w:cs="Times New Roman" w:eastAsia="Times New Roman" w:hAnsi="Times New Roman"/>
          <w:sz w:val="19"/>
          <w:szCs w:val="19"/>
          <w:color w:val="auto"/>
          <w:vertAlign w:val="superscript"/>
        </w:rPr>
      </w:pPr>
    </w:p>
    <w:p>
      <w:pPr>
        <w:ind w:left="520" w:hanging="512"/>
        <w:spacing w:after="0" w:line="189" w:lineRule="auto"/>
        <w:tabs>
          <w:tab w:leader="none" w:pos="5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net revenues generated from the United States represented 17.4% and 19.5% of our total net revenue for the three and six months ended June 30, 2025,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revenue or contract liabilities consists of payments received from customers in advance of revenue recognition for the Company’s products and service. The current portion of deferred revenue represents the unearned revenue that will be earned within 12 months of the balance sheet date. Correspondingly, noncurrent deferred revenue represents the unearned revenue that will be earned after 12 months from the balance sheet date.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deferred revenue: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28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Deferral of revenue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unearned revenue</w:t>
            </w:r>
          </w:p>
        </w:tc>
        <w:tc>
          <w:tcPr>
            <w:tcW w:w="220" w:type="dxa"/>
            <w:vAlign w:val="bottom"/>
            <w:tcBorders>
              <w:right w:val="single" w:sz="8" w:color="CFF0FC"/>
            </w:tcBorders>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(4,864)</w:t>
            </w: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(8,456)</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(4,437)</w:t>
            </w: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300" w:type="dxa"/>
            <w:vAlign w:val="bottom"/>
          </w:tcPr>
          <w:p>
            <w:pPr>
              <w:spacing w:after="0"/>
              <w:rPr>
                <w:sz w:val="18"/>
                <w:szCs w:val="18"/>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30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-170815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the Company expects to recognize $1.6 million from remaining performance obligations over a weighted average term of 3.4 years. The Company recognized approximately $0.3 million and $0.6 million in revenue that was included in the beginning contract liabilities balance during the three and six months ended June 30, 2025, respectively. The Company recognized approximately $0.3 million and $0.5 million in revenue that was included in the beginning contract liabilities balance during the three and six months ended June 30, 2024,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cost of its warranty obligations based on several key estimates: the warranty period (which vary from 5 to 25 years depending on the product), its historical experience of known product failure rates, use of materials to repair or replace defective products and parts, and service delivery costs incurred in correcting product failures. In addition, from time to time, specific</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warranty accruals may be made if unforeseen technical problems arise. Should the actual experience relative to these factors differ from the estimates, the Company may be required to record additional warranty reserves. Product warranty costs are recorded as expense to cost of revenue based on customer history, historical information and current trends.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product warranty liability: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88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2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warranty issued during period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Changes in estimate</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w:t>
            </w: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2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-25400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Balance Sheet and Geographic Information</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Selected financial data as of the dates presented below is as follows (in thousands, except useful life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Inventory, net</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6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21,335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18,927</w:t>
            </w: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21,997</w:t>
            </w:r>
          </w:p>
        </w:tc>
        <w:tc>
          <w:tcPr>
            <w:tcW w:w="0" w:type="dxa"/>
            <w:vAlign w:val="bottom"/>
          </w:tcPr>
          <w:p>
            <w:pPr>
              <w:spacing w:after="0"/>
              <w:rPr>
                <w:sz w:val="1"/>
                <w:szCs w:val="1"/>
                <w:color w:val="auto"/>
              </w:rPr>
            </w:pPr>
          </w:p>
        </w:tc>
      </w:tr>
      <w:tr>
        <w:trPr>
          <w:trHeight w:val="20"/>
        </w:trPr>
        <w:tc>
          <w:tcPr>
            <w:tcW w:w="6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560" w:type="dxa"/>
            <w:vAlign w:val="bottom"/>
            <w:gridSpan w:val="8"/>
          </w:tcPr>
          <w:p>
            <w:pPr>
              <w:ind w:left="520"/>
              <w:spacing w:after="0"/>
              <w:rPr>
                <w:sz w:val="20"/>
                <w:szCs w:val="20"/>
                <w:color w:val="auto"/>
              </w:rPr>
            </w:pPr>
            <w:r>
              <w:rPr>
                <w:rFonts w:ascii="Times New Roman" w:cs="Times New Roman" w:eastAsia="Times New Roman" w:hAnsi="Times New Roman"/>
                <w:sz w:val="18"/>
                <w:szCs w:val="18"/>
                <w:color w:val="auto"/>
              </w:rPr>
              <w:t>The inventory reserve was $17.9 million and $24.1 million as of June 30, 2025, and December 31, 2024, respectively.</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tc>
        <w:tc>
          <w:tcPr>
            <w:tcW w:w="120" w:type="dxa"/>
            <w:vAlign w:val="bottom"/>
          </w:tcPr>
          <w:p>
            <w:pPr>
              <w:spacing w:after="0"/>
              <w:rPr>
                <w:sz w:val="24"/>
                <w:szCs w:val="24"/>
                <w:color w:val="auto"/>
              </w:rPr>
            </w:pP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7 - 25 years</w:t>
            </w:r>
          </w:p>
        </w:tc>
        <w:tc>
          <w:tcPr>
            <w:tcW w:w="420" w:type="dxa"/>
            <w:vAlign w:val="bottom"/>
            <w:tcBorders>
              <w:lef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Computer software</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3 - 6 years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4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4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-1996440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-1979295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-453390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recorded depreciation expense of $0.2 million and $0.5 million, respectively. For the three and six months ended June 30, 2024, the Company recorded depreciation expense of $0.3 million and $0.5 million, respectively. Depreciation expense is recorded in the condensed consolidated statements of operations and comprehensive loss.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Accrued expenses and other current liabilities</w:t>
            </w: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12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164"/>
        </w:trPr>
        <w:tc>
          <w:tcPr>
            <w:tcW w:w="75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Accrued warehouse and freight</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68"/>
        </w:trPr>
        <w:tc>
          <w:tcPr>
            <w:tcW w:w="75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Accrued other</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8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Accrued other as of June 30, 2025, and December 31, 2024, primarily consist of accrued expenses related to legal expense, insurance expense and sales discounts.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 beginning balance</w:t>
            </w:r>
          </w:p>
        </w:tc>
        <w:tc>
          <w:tcPr>
            <w:tcW w:w="1360" w:type="dxa"/>
            <w:vAlign w:val="bottom"/>
            <w:gridSpan w:val="2"/>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charges to recovery</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7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Allowance for credit losses, ending balance</w:t>
            </w:r>
          </w:p>
        </w:tc>
        <w:tc>
          <w:tcPr>
            <w:tcW w:w="24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 by Geographic Region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Company’s long-lived assets, which consist of tangible property and equipment, net of depreciation, and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 assets, by geographic region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180" w:type="dxa"/>
            <w:vAlign w:val="bottom"/>
          </w:tcPr>
          <w:p>
            <w:pPr>
              <w:spacing w:after="0"/>
              <w:rPr>
                <w:sz w:val="13"/>
                <w:szCs w:val="1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4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4"/>
                <w:szCs w:val="24"/>
                <w:color w:val="auto"/>
                <w:vertAlign w:val="superscript"/>
              </w:rPr>
              <w:t>(1)</w:t>
            </w:r>
          </w:p>
        </w:tc>
        <w:tc>
          <w:tcPr>
            <w:tcW w:w="13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Americas</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APAC</w:t>
            </w:r>
            <w:r>
              <w:rPr>
                <w:rFonts w:ascii="Times New Roman" w:cs="Times New Roman" w:eastAsia="Times New Roman" w:hAnsi="Times New Roman"/>
                <w:sz w:val="24"/>
                <w:szCs w:val="24"/>
                <w:color w:val="auto"/>
                <w:vertAlign w:val="superscript"/>
              </w:rPr>
              <w:t>(3)</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130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June 30, 2025, and December 31, 2024, 19.9% and 26.6% of the Company’s total long-lived assets were located in Israel, respectively.</w:t>
      </w:r>
    </w:p>
    <w:p>
      <w:pPr>
        <w:ind w:left="520" w:hanging="512"/>
        <w:spacing w:after="0" w:line="182" w:lineRule="auto"/>
        <w:tabs>
          <w:tab w:leader="none" w:pos="52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June 30, 2025, and December 31, 2024, 38.8% and 16.4% of the Company’s total long-lived assets were located in the U.S., respectively.</w:t>
      </w:r>
    </w:p>
    <w:p>
      <w:pPr>
        <w:ind w:left="520" w:hanging="512"/>
        <w:spacing w:after="0" w:line="202" w:lineRule="auto"/>
        <w:tabs>
          <w:tab w:leader="none" w:pos="5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June 30, 2025, 25.4% and 10.1% of the Company’s total long-lived assets were located in Thailand and China, respectively. As of December 31, 2024, 35.5% and 13.0% of the Company’s total long-lived assets were located in Thailand and China,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 the following (in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80" w:type="dxa"/>
            <w:vAlign w:val="bottom"/>
            <w:tcBorders>
              <w:bottom w:val="single" w:sz="8" w:color="auto"/>
            </w:tcBorders>
          </w:tcPr>
          <w:p>
            <w:pPr>
              <w:spacing w:after="0"/>
              <w:rPr>
                <w:sz w:val="15"/>
                <w:szCs w:val="15"/>
                <w:color w:val="auto"/>
              </w:rPr>
            </w:pPr>
          </w:p>
        </w:tc>
        <w:tc>
          <w:tcPr>
            <w:tcW w:w="6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3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Less: short-term debt, net of unamortized debt discount and issuance costs</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(44,981)</w:t>
            </w:r>
          </w:p>
        </w:tc>
        <w:tc>
          <w:tcPr>
            <w:tcW w:w="2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(5,019)</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(9,489)</w:t>
            </w:r>
          </w:p>
        </w:tc>
      </w:tr>
      <w:tr>
        <w:trPr>
          <w:trHeight w:val="20"/>
        </w:trPr>
        <w:tc>
          <w:tcPr>
            <w:tcW w:w="180" w:type="dxa"/>
            <w:vAlign w:val="bottom"/>
            <w:shd w:val="clear" w:color="auto" w:fill="CFF0FC"/>
          </w:tcPr>
          <w:p>
            <w:pPr>
              <w:spacing w:after="0" w:line="20" w:lineRule="exact"/>
              <w:rPr>
                <w:sz w:val="1"/>
                <w:szCs w:val="1"/>
                <w:color w:val="auto"/>
              </w:rPr>
            </w:pPr>
          </w:p>
        </w:tc>
        <w:tc>
          <w:tcPr>
            <w:tcW w:w="69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unamortized debt discount and issuance costs</w:t>
            </w:r>
          </w:p>
        </w:tc>
        <w:tc>
          <w:tcPr>
            <w:tcW w:w="136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40,511</w:t>
            </w:r>
          </w:p>
        </w:tc>
        <w:tc>
          <w:tcPr>
            <w:tcW w:w="1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jc w:val="both"/>
        <w:ind w:left="520" w:hanging="512"/>
        <w:spacing w:after="0" w:line="215" w:lineRule="auto"/>
        <w:tabs>
          <w:tab w:leader="none" w:pos="5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January 9, 2025, the Convertible Promissory Note was reclassified from non-current liabilities to current liabilities as the maturity date falls within the twelve months of the reporting date. As of June 30, 2025, the outstanding balance of the Convertible Promissory Note is presented within current liabilities as “Short-term debt, net of unamortized debt discount and issuance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9, 2023, the Company entered into the Note Purchase Agreement (“Note Purchase Agreement”) with L1 Energy Capital Management S.a.r.l. (“L1 Energy”) pursuant to which the Company issued the Convertible Promissory Note in the aggregate principal amount of $50.0 million (the “Convertible Promissory Note”). Outstanding borrowings under the Convertible Promissory Note bears interest at a rate of 5.0% per year. The principal amount of the Convertible Promissory Note is due at the maturity date of January 9, 2026, and interest is payable semiannually. As of June 30, 2025, there was $1.2 million of accrued interest in the condensed consolidated balance sheet.</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Note Purchase Agreement, the Convertible Promissory Note may be converted at the option of the note holder into the Company’s common stock or an equivalent equity instrument resulting from a public company event. The conversion price is based on a pre-money valuation divided by the aggregate number of the Company’s outstanding shares at the issuance date and adjusted for any cash dividends paid on the Company’s capital stock. The conversion price and number of conversion shares are subject to standard anti-dilution adjustments. Upon a change of control event the note holder may (i) convert the Convertible Promissory Note immediately prior to the event into the Company’s common stock at a conversion price equal to the lesser of the Convertible Promissory Note’s original conversion price or the price per share of the Company’s common stock implied by the change of control event transaction agreement or (ii) require the redemption of the Convertible Promissory Note in cash, including the payment of a make-whole amount of all unpaid interest that would have otherwise been payable had the Convertible Promissory Note remained outstanding through the maturity date. The Company’s obligations under the Note Purchase Agreement may be accelerated, subject to customary grace and cure periods, upon the occurrence of an event of default. The Note Purchase Agreement defines events of default as the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occurrence of any one of the following; 1) a default in payment of any part of principal or unpaid accrued interest on the Convertible Promissory Note when due and payable; 2) the Company issues a written statement that it is unable to pay its debts as they become due, or the Company files a voluntary petition for bankruptcy or insolvency proceeding, the Company, or its directors or majority shareholders take action looking to the dissolution or liquidation of the Company; 3) the involuntary bankruptcy of the Company defined as the commencement of any proceeding against the Company seeking any bankruptcy reorganization; 4) the Company defaults on any of its performance obligations under the Note Purchase Agreement; 5) any material portion of the assets of the Company or any subsidiary of the Company is seized or a levy is filed against such assets; 6) a default that remains uncured on any other agreement evidencing the indebtedness of the Company or its subsidiaries for an amount of $10 million or more whose terms allow for the acceleration of the repayment of such indebtedness due to the consummation of the transactions contemplated in this Note Purchase Agreement.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aggregate principal maturities of debt are as follows as of June 30, 2025 (in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86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09"/>
        </w:trPr>
        <w:tc>
          <w:tcPr>
            <w:tcW w:w="8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29"/>
        </w:trPr>
        <w:tc>
          <w:tcPr>
            <w:tcW w:w="86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r>
      <w:tr>
        <w:trPr>
          <w:trHeight w:val="20"/>
        </w:trPr>
        <w:tc>
          <w:tcPr>
            <w:tcW w:w="8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-1002030</wp:posOffset>
            </wp:positionV>
            <wp:extent cx="1543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compensation and severance in certain circumstances, as defined in the respective employment agreements.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become involved in litigation or legal disputes that are not covered by insurance. While the Company intends to vigorously defend itself with respect to such disputes, any potential outcomes resulting from such claims would be inherently difficult to quantify. The Company makes a provision for a liability relating to legal matters when it is both probable that a liability has been incurred, and the amount of the loss can be reasonably estimated. During the three and six months ended June 30, 2025, the Company did not record a material loss with respect to any legal claims or other legal matters arising in the normal course of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third-party claims or a breach of representation or covenant. It may not be possible to determine the maximum potential amount of liability under such indemnification agreements due to the unique facts and circumstances that are likely to be involved in each particular claim and indemnification provision. In addition, we believe the likelihood is remote that payments under any indemnification agreements described above will have a material effect on the Company’s condensed consolidated financial statements.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indemnified its Directors and Executive Officers, to the extent legally permissible, against all liabilities reasonably incurred in connection with any action in which such individual may be involved by reason of such individual being or having been a Director or Executive Officer.</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believes the current estimated fair value of any obligation from these indemnification agreements is minimal; therefore, these condensed consolidated financial statements do not include a liability for potential indemnification-related obligations at June 30,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and Preferred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and Preferred Stock</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150,000,000 shares of Common Stock. Each share of Common Stock entitles the holder to one vote on all matters submitted to a vote of the Company’s stockholders.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10,000,000 shares of Preferred Stock. As of June 30, 2025, there was no Preferred Stock outstanding.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of Common Stock reserved for future issuance were as follows:</w:t>
      </w:r>
    </w:p>
    <w:p>
      <w:pPr>
        <w:spacing w:after="0" w:line="21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issued and outstanding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Performance stock units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available for potential conversion of L1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available for grant under 2023 Equity Incentive Plan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Program</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4,945,867</w:t>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2,127,500</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1,760,048</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5,305,861</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2,759,187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16,898,463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14605</wp:posOffset>
            </wp:positionV>
            <wp:extent cx="18942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31750</wp:posOffset>
            </wp:positionV>
            <wp:extent cx="18942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2">
            <w:col w:w="9580" w:space="720"/>
            <w:col w:w="940"/>
          </w:cols>
          <w:pgMar w:left="320" w:top="765" w:right="339" w:bottom="1440" w:gutter="0" w:footer="0" w:header="0"/>
          <w:type w:val="continuous"/>
        </w:sect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2024, we entered into an At-The-Market Offering Agreement (the “ATM Agreement”) with Craig-Hallum Capital Group LLC (the “Sales Agent”), allowing for the sale of common stock with an aggregate gross offering price of up to $14.2 million (the “2024 ATM Program”). Under the ATM Agreement, the Sales Agent may sell shares in an “at-the-market” offering under Rule 415(a)(4) of the Securities Act, including sales on Nasdaq or other trading markets, to or through market makers, directly to the Sales Agent as principal, or in negotiated transactions at prevailing market prices. The offering of Shares pursuant to the ATM Agreement will terminate upon (a) five business days’ advance notice from the Company to the Sales Agent or five business days’ advance notice from the Sales Agent to the Company or (b) otherwise by mutual agreement of the parties pursuant to the terms of the ATM Agreement. Sales under the 2024 ATM Program are subject to a maximum commission of up to 3.0% of the gross proceeds per share sold through the Sales Agent.</w:t>
      </w:r>
    </w:p>
    <w:p>
      <w:pPr>
        <w:spacing w:after="0" w:line="12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shares issued under our 2024 ATM Program during the six months ended June 30, 2025 (in thousands except shares issued and average price per share):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180" w:type="dxa"/>
            <w:vAlign w:val="bottom"/>
          </w:tcPr>
          <w:p>
            <w:pPr>
              <w:spacing w:after="0"/>
              <w:rPr>
                <w:sz w:val="13"/>
                <w:szCs w:val="13"/>
                <w:color w:val="auto"/>
              </w:rPr>
            </w:pPr>
          </w:p>
        </w:tc>
        <w:tc>
          <w:tcPr>
            <w:tcW w:w="15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24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Net Price Per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9"/>
              <w:spacing w:after="0" w:line="175" w:lineRule="exact"/>
              <w:rPr>
                <w:sz w:val="20"/>
                <w:szCs w:val="20"/>
                <w:color w:val="auto"/>
              </w:rPr>
            </w:pPr>
            <w:r>
              <w:rPr>
                <w:rFonts w:ascii="Times New Roman" w:cs="Times New Roman" w:eastAsia="Times New Roman" w:hAnsi="Times New Roman"/>
                <w:sz w:val="14"/>
                <w:szCs w:val="14"/>
                <w:b w:val="1"/>
                <w:bCs w:val="1"/>
                <w:color w:val="auto"/>
                <w:w w:val="96"/>
              </w:rPr>
              <w:t>Share</w:t>
            </w:r>
            <w:r>
              <w:rPr>
                <w:rFonts w:ascii="Times New Roman" w:cs="Times New Roman" w:eastAsia="Times New Roman" w:hAnsi="Times New Roman"/>
                <w:sz w:val="19"/>
                <w:szCs w:val="19"/>
                <w:b w:val="1"/>
                <w:bCs w:val="1"/>
                <w:color w:val="auto"/>
                <w:w w:val="96"/>
                <w:vertAlign w:val="superscript"/>
              </w:rPr>
              <w:t>(1)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987,209</w:t>
            </w:r>
          </w:p>
        </w:tc>
        <w:tc>
          <w:tcPr>
            <w:tcW w:w="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average price per share after commission.</w:t>
      </w:r>
    </w:p>
    <w:p>
      <w:pPr>
        <w:spacing w:after="0" w:line="28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adopted the 2008 Stock Plan (“2008 Plan”) under which it may issue stock options to purchase shares of common stock, and award restricted stock and stock appreciation rights to employees, Directors and consultants. The 2008 Plan expired in March 2018 and all award issuance therefore ceased.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2008 Plan will remain outstanding until they are exercised, canceled or expired.</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May 2018, the Company adopted the 2018 Stock Plan (“2018 Plan”) under which the Company may issue stock options to purchase shares of common stock, and award restricted stock and stock appreciation rights to employees, Directors and consultants.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2018 Plan, the Board of Directors may grant incentive stock options or non-qualified stock options. Incentive stock options may only be granted to Company employees. The 2018 Plan expired in May 2023 and all award issuance therefore ceased. The exercise price of incentive stock options and non-qualified stock options cannot be less than 100% of the fair value per share of the Company’s common stock on the grant date. If an individual owns more than 10% of the Company’s outstanding capital stock, the price of each share incentive stock option will be at least 110% of the fair value. Fair value was determined by the Board of Directors. Options generally vest over a four-year period with a one-year cliff. The option term is no longer than five years for incentive stock options for which the grantee owns greater than 10% of the Company’s capital stock and no longer than 10 years for all other options. The Company has a repurchase option on unvested restricted stock exercisable upon the voluntary or involuntary termination of the purchaser’s employment with the Company for any reason. The Company’s repurchase right lapses in accordance with the vesting terms. Options outstanding under the 2018 Plan will remain outstanding until they are exercised, canceled or expire.</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adopted the 2023 Equity Incentive Plan (“2023 Plan”) under which the Company may issue stock options to purchase shares of common stock, award restricted stock, restricted stock units (“RSU”), performance stock units (“PSUs”), dividend equivalents, stock appreciation rights, and other stock-based or cash-based awards to employees, Directors and consultants.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to newly hired employees generally vest over a four-year period, following the date of grant, with 25% vesting on the first anniversary of the grant date and the remaining vesting in equal monthly installments thereafter, and grants of additional stock options to employees generally vest in equal monthly installments over a four-year period with no cliff vesting. As of June 30, 2025, 500,819 stock options granted under the 2023 Plan had vested and were exercisable. There have been 1,258 stock options exercised under the 2023 Plan. The RSUs generally vest over a three-year period, following the date of grant, with a third of the award vesting on each year on the annual anniversary of the grant date.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Collectively, the 2008 Stock Plan, 2018 Stock Plan and the 2023 Equity Incentive Plan are referred to as “the Plans”.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also measures the PSU awards at their grant-date fair value and assumes that performance goals will be achieved. If the performance goals are not met, no compensation expense is recognized and any recognized compensation expense is reversed. The Company recorded stock-based compensation expense in the following expense categories in its accompanying condensed consolidated statements of operations and comprehensive loss: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restart"/>
          </w:tcPr>
          <w:p>
            <w:pPr>
              <w:spacing w:after="0"/>
              <w:rPr>
                <w:sz w:val="15"/>
                <w:szCs w:val="15"/>
                <w:color w:val="auto"/>
              </w:rPr>
            </w:pPr>
          </w:p>
        </w:tc>
        <w:tc>
          <w:tcPr>
            <w:tcW w:w="306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4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-24765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-8255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Exchange Program</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November 12, 2024, the Company commenced an offer to certain eligible employees and directors the opportunity to exchange certain outstanding options to purchase shares of common stock, for new options (“Replacement Options”) to purchase a number of shares of our common stock (the “Option Exchange”). The Option Exchange expired at 11:59 P.M. Eastern Time on December 10, 2024. Pursuant to the terms and conditions of the Option Exchange, the Company accepted for exchange eligible options to purchase an aggregate of 725,028 shares of common stock, representing approximately 96.6% of the total shares of common stock underlying such eligible options. All surrendered options were cancelled effective as of the expiration of the Option Exchange. Effective promptly following the expiration of the Option Exchange, the Company granted Replacement Options to purchase an aggregate of 181,107 shares of common stock under the 2023 Equity Incentive Plan.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recognize additional stock-based compensation expense as a result of the Option Exchange.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Plans for the six months ended June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128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5,403,090</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2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(163,611)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Forfeited/expired</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(293,612)</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20" w:type="dxa"/>
            <w:vAlign w:val="bottom"/>
            <w:tcBorders>
              <w:top w:val="single" w:sz="8" w:color="CFF0FC"/>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4,945,867</w:t>
            </w:r>
          </w:p>
        </w:tc>
        <w:tc>
          <w:tcPr>
            <w:tcW w:w="18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gridSpan w:val="2"/>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top w:val="single" w:sz="8" w:color="CFF0FC"/>
            </w:tcBorders>
          </w:tcPr>
          <w:p>
            <w:pPr>
              <w:spacing w:after="0"/>
              <w:rPr>
                <w:sz w:val="18"/>
                <w:szCs w:val="18"/>
                <w:color w:val="auto"/>
              </w:rPr>
            </w:pPr>
          </w:p>
        </w:tc>
        <w:tc>
          <w:tcPr>
            <w:tcW w:w="130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600" w:type="dxa"/>
            <w:vAlign w:val="bottom"/>
            <w:tcBorders>
              <w:top w:val="single" w:sz="8" w:color="CFF0FC"/>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2025</w:t>
            </w:r>
          </w:p>
        </w:tc>
        <w:tc>
          <w:tcPr>
            <w:tcW w:w="1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2,748,034</w:t>
            </w:r>
          </w:p>
        </w:tc>
        <w:tc>
          <w:tcPr>
            <w:tcW w:w="18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gridSpan w:val="2"/>
            <w:shd w:val="clear" w:color="auto" w:fill="CFF0FC"/>
          </w:tcPr>
          <w:p>
            <w:pPr>
              <w:jc w:val="right"/>
              <w:ind w:right="1108"/>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5.21</w:t>
            </w:r>
          </w:p>
        </w:tc>
        <w:tc>
          <w:tcPr>
            <w:tcW w:w="600" w:type="dxa"/>
            <w:vAlign w:val="bottom"/>
            <w:tcBorders>
              <w:bottom w:val="single" w:sz="8" w:color="CFF0FC"/>
            </w:tcBorders>
            <w:gridSpan w:val="2"/>
            <w:shd w:val="clear" w:color="auto" w:fill="CFF0FC"/>
          </w:tcPr>
          <w:p>
            <w:pPr>
              <w:jc w:val="right"/>
              <w:ind w:right="14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-334010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June 30, 2025, the total unrecognized compensation expense related to unvested stock option awards was $5.3 million, which the Company expects to recognize over a weighted-average period of 2.5 years. There were no options granted during the three and six months ended June 30, 2025, and 2024.</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fair value of options is estimated using the Black-Scholes option pricing model, which takes into account inputs such as the exercise price, the value of the underlying common stock at the grant date, expected term, expected volatility, risk-free interest rate and dividend yield. The fair value of each grant of options was determined using the methods and assumptions discussed below.</w:t>
      </w:r>
    </w:p>
    <w:p>
      <w:pPr>
        <w:spacing w:after="0" w:line="68" w:lineRule="exact"/>
        <w:rPr>
          <w:sz w:val="20"/>
          <w:szCs w:val="20"/>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employee options with service-based vesting is determined using the “simplified” method, as prescribed in the U.S. Securities and Exchange Commission’s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based on historical volatilities of similar entities within the Company’s industry which were commensurate with the expected term assumption as described in SAB No. 107.</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 that is commensurate with the assumed expected term.</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0% because the Company has not historically paid and does not expect in the foreseeable future to pay a dividend on its common stock.</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Company’s common stock has not historically been publicly traded, its Board of Directors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 Valuation of Privately-Held-Company Equity Securities Issued as Compensation.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for the Plans for the six months ended June 30,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jc w:val="center"/>
              <w:ind w:left="84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73"/>
        </w:trPr>
        <w:tc>
          <w:tcPr>
            <w:tcW w:w="51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Borders>
              <w:bottom w:val="single" w:sz="8" w:color="auto"/>
            </w:tcBorders>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100" w:type="dxa"/>
            <w:vAlign w:val="bottom"/>
          </w:tcPr>
          <w:p>
            <w:pPr>
              <w:spacing w:after="0"/>
              <w:rPr>
                <w:sz w:val="15"/>
                <w:szCs w:val="15"/>
                <w:color w:val="auto"/>
              </w:rPr>
            </w:pPr>
          </w:p>
        </w:tc>
      </w:tr>
      <w:tr>
        <w:trPr>
          <w:trHeight w:val="209"/>
        </w:trPr>
        <w:tc>
          <w:tcPr>
            <w:tcW w:w="7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2,103,946</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7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738,463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0.98</w:t>
            </w:r>
          </w:p>
        </w:tc>
      </w:tr>
      <w:tr>
        <w:trPr>
          <w:trHeight w:val="216"/>
        </w:trPr>
        <w:tc>
          <w:tcPr>
            <w:tcW w:w="71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(682,438)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Forfeited/expired</w:t>
            </w:r>
          </w:p>
        </w:tc>
        <w:tc>
          <w:tcPr>
            <w:tcW w:w="18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r>
      <w:tr>
        <w:trPr>
          <w:trHeight w:val="20"/>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8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2,127,500</w:t>
            </w: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total unrecognized compensation expense related to unvested RSUs was $4.5 million, which the Company expects to recognize over a weighted-average period of 1.4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Company had an outstanding balance of 1,760,048 PSUs, with a weighted average grant date fair value per share of $1.58. The PSUs vest over a three-year period beginning on January 1, 2025, with one-third of the award eligible to vest at the end of each fiscal year through December 31, 2027, based on the Company’s level of achievement of certain performance-based criteria tied to annual net revenue and adjusted EBITDA targets. The PSUs were valued using the market value of the Company’s Common Stock at the closing market price on the grant date.</w:t>
      </w:r>
    </w:p>
    <w:p>
      <w:pPr>
        <w:spacing w:after="0" w:line="14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total unrecognized compensation expense related to PSUs that were deemed probable to vest at the end of their respective performance period was $1.1 million, which the Company expects to recognize over a weighted-average period of 1.6 years.</w:t>
      </w:r>
    </w:p>
    <w:p>
      <w:pPr>
        <w:spacing w:after="0" w:line="266"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lessee, the Company currently leases office space and vehicles in the United States, Italy, Israel, China, Philippines and Thailand. All of the Company leases are classified as operating leases. The Company has no leases classified as finance or sales-type leases. For leases with terms greater than 12 months, the Company records the related assets and obligations at the present value of lease payments over the term. Many of the Company’s leases include rental escalation clauses, renewal options and/or termination options that are factored into the Company’s determination of lease payments.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 The majority of the Company’s leases have remaining lease terms of one to five years, some of which include options to extend the leases for up to eight years, and some of which include options to terminate the leases within one year.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tcBorders>
              <w:bottom w:val="single" w:sz="8" w:color="auto"/>
            </w:tcBorders>
            <w:gridSpan w:val="6"/>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gridSpan w:val="2"/>
          </w:tcPr>
          <w:p>
            <w:pPr>
              <w:spacing w:after="0"/>
              <w:rPr>
                <w:sz w:val="15"/>
                <w:szCs w:val="15"/>
                <w:color w:val="auto"/>
              </w:rPr>
            </w:pPr>
          </w:p>
        </w:tc>
      </w:tr>
      <w:tr>
        <w:trPr>
          <w:trHeight w:val="196"/>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costs</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3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512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Variable lease costs</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258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770</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413"/>
        </w:trPr>
        <w:tc>
          <w:tcPr>
            <w:tcW w:w="478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1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65"/>
        </w:trPr>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Flows Information (in thousands)</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628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right of use assets obtained in exchange for operating lease liabilities</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2"/>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5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5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ind w:right="212"/>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r>
      <w:tr>
        <w:trPr>
          <w:trHeight w:val="522"/>
        </w:trPr>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-1790700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-1773555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-1790700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-1773555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-1790700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-1773555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-1773555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gridSpan w:val="2"/>
          </w:tcPr>
          <w:p>
            <w:pPr>
              <w:spacing w:after="0"/>
              <w:rPr>
                <w:sz w:val="15"/>
                <w:szCs w:val="15"/>
                <w:color w:val="auto"/>
              </w:rPr>
            </w:pPr>
          </w:p>
        </w:tc>
      </w:tr>
      <w:tr>
        <w:trPr>
          <w:trHeight w:val="210"/>
        </w:trPr>
        <w:tc>
          <w:tcPr>
            <w:tcW w:w="88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r>
      <w:tr>
        <w:trPr>
          <w:trHeight w:val="234"/>
        </w:trPr>
        <w:tc>
          <w:tcPr>
            <w:tcW w:w="8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7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w w:val="95"/>
              </w:rPr>
              <w:t>4.9%</w:t>
            </w:r>
          </w:p>
        </w:tc>
      </w:tr>
      <w:tr>
        <w:trPr>
          <w:trHeight w:val="414"/>
        </w:trPr>
        <w:tc>
          <w:tcPr>
            <w:tcW w:w="88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maturities of lease liabilities were as follows as of June 30, 2025: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8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24"/>
                <w:szCs w:val="24"/>
                <w:color w:val="auto"/>
              </w:rPr>
            </w:pPr>
          </w:p>
        </w:tc>
      </w:tr>
      <w:tr>
        <w:trPr>
          <w:trHeight w:val="209"/>
        </w:trPr>
        <w:tc>
          <w:tcPr>
            <w:tcW w:w="88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Remainder of 2025</w:t>
            </w:r>
          </w:p>
        </w:tc>
        <w:tc>
          <w:tcPr>
            <w:tcW w:w="60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7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888</w:t>
            </w: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r>
      <w:tr>
        <w:trPr>
          <w:trHeight w:val="216"/>
        </w:trPr>
        <w:tc>
          <w:tcPr>
            <w:tcW w:w="7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88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88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60" w:type="dxa"/>
            <w:vAlign w:val="bottom"/>
            <w:tcBorders>
              <w:bottom w:val="single" w:sz="8" w:color="CFF0FC"/>
            </w:tcBorders>
            <w:gridSpan w:val="3"/>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8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8"/>
                <w:szCs w:val="18"/>
                <w:color w:val="auto"/>
              </w:rPr>
            </w:pPr>
          </w:p>
        </w:tc>
      </w:tr>
      <w:tr>
        <w:trPr>
          <w:trHeight w:val="249"/>
        </w:trPr>
        <w:tc>
          <w:tcPr>
            <w:tcW w:w="88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bottom w:val="single" w:sz="8" w:color="CFF0FC"/>
            </w:tcBorders>
            <w:gridSpan w:val="3"/>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 goodwill balance of $12.2 million. The goodwill balance is related to the acquisition of Tigo Energy AI Ltd (f/k/a Foresight Energy, Ltd. (“fSight”)).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intangible assets by major asset class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useful life amounts)</w:t>
            </w:r>
          </w:p>
        </w:tc>
        <w:tc>
          <w:tcPr>
            <w:tcW w:w="140" w:type="dxa"/>
            <w:vAlign w:val="bottom"/>
            <w:vMerge w:val="restart"/>
          </w:tcPr>
          <w:p>
            <w:pPr>
              <w:spacing w:after="0"/>
              <w:rPr>
                <w:sz w:val="10"/>
                <w:szCs w:val="10"/>
                <w:color w:val="auto"/>
              </w:rPr>
            </w:pPr>
          </w:p>
        </w:tc>
        <w:tc>
          <w:tcPr>
            <w:tcW w:w="142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60" w:type="dxa"/>
            <w:vAlign w:val="bottom"/>
          </w:tcPr>
          <w:p>
            <w:pPr>
              <w:spacing w:after="0"/>
              <w:rPr>
                <w:sz w:val="10"/>
                <w:szCs w:val="10"/>
                <w:color w:val="auto"/>
              </w:rPr>
            </w:pP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60" w:type="dxa"/>
            <w:vAlign w:val="bottom"/>
          </w:tcPr>
          <w:p>
            <w:pPr>
              <w:spacing w:after="0"/>
              <w:rPr>
                <w:sz w:val="10"/>
                <w:szCs w:val="10"/>
                <w:color w:val="auto"/>
              </w:rPr>
            </w:pPr>
          </w:p>
        </w:tc>
        <w:tc>
          <w:tcPr>
            <w:tcW w:w="13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16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Amortizing:</w:t>
            </w:r>
          </w:p>
        </w:tc>
        <w:tc>
          <w:tcPr>
            <w:tcW w:w="1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9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Patents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14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useful life amounts)</w:t>
            </w:r>
          </w:p>
        </w:tc>
        <w:tc>
          <w:tcPr>
            <w:tcW w:w="140" w:type="dxa"/>
            <w:vAlign w:val="bottom"/>
            <w:vMerge w:val="restart"/>
          </w:tcPr>
          <w:p>
            <w:pPr>
              <w:spacing w:after="0"/>
              <w:rPr>
                <w:sz w:val="10"/>
                <w:szCs w:val="10"/>
                <w:color w:val="auto"/>
              </w:rPr>
            </w:pPr>
          </w:p>
        </w:tc>
        <w:tc>
          <w:tcPr>
            <w:tcW w:w="1420" w:type="dxa"/>
            <w:vAlign w:val="bottom"/>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Amortizing:</w:t>
            </w:r>
          </w:p>
        </w:tc>
        <w:tc>
          <w:tcPr>
            <w:tcW w:w="14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Patents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Developed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14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-1216660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-1199515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-1216660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-1199515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amortization expense related to intangible assets of $0.1 million and $0.1 million for the three and six months ended June 30, 2025, respectively. The Company recognized amortization expense related to intangible assets of $0.1 million and $0.1 million for the three and six months ended June 30, 2024, respectively.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related to intangible assets at June 30, 2025, in each of the next five years and beyond is expected to be incurred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r>
      <w:tr>
        <w:trPr>
          <w:trHeight w:val="209"/>
        </w:trPr>
        <w:tc>
          <w:tcPr>
            <w:tcW w:w="86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740" w:type="dxa"/>
            <w:vAlign w:val="bottom"/>
            <w:gridSpan w:val="2"/>
            <w:shd w:val="clear" w:color="auto" w:fill="CCEC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86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864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86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8"/>
                <w:szCs w:val="18"/>
                <w:color w:val="auto"/>
              </w:rPr>
            </w:pPr>
          </w:p>
        </w:tc>
      </w:tr>
      <w:tr>
        <w:trPr>
          <w:trHeight w:val="250"/>
        </w:trPr>
        <w:tc>
          <w:tcPr>
            <w:tcW w:w="86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CCECFF"/>
            </w:tcBorders>
            <w:shd w:val="clear" w:color="auto" w:fill="CCECFF"/>
          </w:tcPr>
          <w:p>
            <w:pPr>
              <w:spacing w:after="0"/>
              <w:rPr>
                <w:sz w:val="21"/>
                <w:szCs w:val="21"/>
                <w:color w:val="auto"/>
              </w:rPr>
            </w:pPr>
          </w:p>
        </w:tc>
        <w:tc>
          <w:tcPr>
            <w:tcW w:w="480" w:type="dxa"/>
            <w:vAlign w:val="bottom"/>
            <w:tcBorders>
              <w:bottom w:val="single" w:sz="8" w:color="auto"/>
            </w:tcBorders>
            <w:shd w:val="clear" w:color="auto" w:fill="CCEC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income tax provision is calculated for an interim period by distinguishing between elements recognized in the income tax provision through applying an estimated annual effective tax rate to a measure of year-to-date operating results referred to as “ordinary income (or loss),” and discretely recognizing specific events referred to as “discrete items” as they occur. The Company’s effective tax rates for the three months ended June 30, 2025, and 2024 differ from the federal statutory rate of 21% principally as a result of valuation allowances expected to be maintained against the Company’s deferred tax assets. Additionally, the Company recorded a discrete tax expense for the three and six months ended June 30, 2025, of $0.2 million and $0.5 million, respectively. For discrete tax expense recorded during the three and six months ended June 30, 2025, $0.3 million is related to the estimated settlement of a foreign tax examination. During the six months ended June 30, 2025, the Italian tax authority initiated a tax examination of the Company’s Italian operations. As of June 30, 2025, the tax examination was closed and the settlement liability was approximately $0.3 million. The Company recorded a de minimis amount of income tax expense for the three and six months ended June 30, 2024.</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2025, the One Big Beautiful Bill Act (the “OBBB”) was enacted into law, which permanently extends several key provisions of the Tax Cuts and Jobs Act, including 100% bonus depreciation, domestic research cost expensing, and the business interest expense limitation. The Company is evaluating the provisions of the OBBB and its impact to income taxes and future condensed consolidated financial statements from its enactment date in July 2025.</w:t>
      </w:r>
    </w:p>
    <w:p>
      <w:pPr>
        <w:spacing w:after="0" w:line="135"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condensed consolidated financial statements and the related notes that appear elsewhere in this Quarterly Report on Form 10-Q, and the audited consolidated financial statements and notes thereto included in our 2024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“Cautionary Note Regarding Forward-Looking Statements” included elsewhere in this Quarterly Report on Form 10-Q, including those set forth in Part II, Item 1A, “Risk Factors” in this Quarterly Report on Form 10-Q and in Part I, Item 1A, “Risk Factors” in the 2024 Annual Report. Additionally, our historical results are not necessarily indicative of the results that may be expected for any period in the future.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mission is to deliver smart systems solutions, combining hardware and software, which enhance safety, increase energy yield, and lower operating costs of residential, commercial, and utility-scale solar systems. We believe we are a worldwide leader in the development and delivery of products and solutions that are flexible and dependable, increase the energy generation of solar energy systems and address the need for change. We primarily offer products and services through distributors and solar installers. We have a worldwide footprint with product installations in over 100 countries and on all seven continents.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May Influence Future Results of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financial results of operations may not be comparable from period to period due to several factors. Key factors affecting our results of operations are summarized below.</w:t>
      </w:r>
    </w:p>
    <w:p>
      <w:pPr>
        <w:spacing w:after="0" w:line="15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Trade Tariffs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is uncertain what impact new or existing tariffs, trade restrictions, or retaliatory actions may have on us, the solar industry,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U.S. net revenue represented 19.5% of our total net revenue for the six months ended June 30, 2025. Substantially all of our MLPE products, which represented 64.2% of U.S. net revenues during the six months ended June 30, 2025, were manufactured in Thailand and future purchases may be subject to a 19% reciprocal import tariff as of the date of this report. In addition, substantially all of our GO ESS products, which represented 20.2% of U.S. net revenues during the six months ended June 30, 2025, were manufactured in China and future purchases may be subject to reciprocal import tariffs of 30% as of the date of this report. Beginning in the third quarter of 2025, the Company expects to begin manufacturing a mix of its GO ESS products in Vietnam, which is subject to a fixed reciprocal import tariff of 20% as of the date of this report.</w:t>
      </w:r>
    </w:p>
    <w:p>
      <w:pPr>
        <w:spacing w:after="0" w:line="13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we are actively evaluating alternative sourcing strategies, the global supply chain for key hardware components necessary to manufacture our products remains concentrated in regions affected by these trade measures, and identifying qualified suppliers outside of these regions with sufficient capacity and technical expertise remains challenging.</w:t>
      </w:r>
    </w:p>
    <w:p>
      <w:pPr>
        <w:spacing w:after="0" w:line="10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escalation in trade tensions, new or expanded tariffs, or broader geopolitical instability could impact our sourcing flexibility, product pricing, cost structure, and/or customer demand for our product lines. These factors, combined with potential economic softening, could lead to elevated inventory levels and reduced leverage in supplier pricing negotiations. Any of these outcomes could negatively affect our operations, financial performance, and cash flows.</w:t>
      </w:r>
    </w:p>
    <w:p>
      <w:pPr>
        <w:spacing w:after="0" w:line="9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Managing Supply Chain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rely on contract manufacturers and suppliers to produce our components, with a significant portion of our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chain originating in Thailand and China. Beginning in the third quarter of 2025, the Company expects to begin manufacturing a mix of its GO ESS products in Vietnam. Our ability to grow depends, in part, on the ability of our contract manufacturers and suppliers to provide high quality services and deliver components and finished products on time and at reasonable costs. While we have diversified our supply chain, some of our suppliers and contract manufacturers are sole-source suppliers. Our concentration of suppliers could lead to supply shortages, long lead times for components and supply changes. In the event we are unable to mitigate the impact of delays and/or price increases in raw materials, electronic components and freight, as a result of new or existing tariffs, trade restrictions, retaliatory actions, or otherwise, it could delay the manufacturing and delivery of our products, which would adversely impact our cash flows and results of operations, including revenue and gross margin. In addition, in a slowing economic environment in the U.S. and worldwide, our inventory levels may continue to increase due to existing purchase commitments and our ability to negotiate volume pricing discounts may be impaired.</w:t>
      </w:r>
    </w:p>
    <w:p>
      <w:pPr>
        <w:spacing w:after="0" w:line="18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One Big Beautiful Bill Act of 2025. </w:t>
      </w:r>
      <w:r>
        <w:rPr>
          <w:rFonts w:ascii="Times New Roman" w:cs="Times New Roman" w:eastAsia="Times New Roman" w:hAnsi="Times New Roman"/>
          <w:sz w:val="18"/>
          <w:szCs w:val="18"/>
          <w:color w:val="auto"/>
        </w:rPr>
        <w:t>In July 2025, the One Big Beautiful Bill Act of 2025 (“OBBB”) was signed into law, introducing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to clean energy tax credit programs that may impact our financial condition, results of operations and future prospects. The law phases out the Investment Tax Credit (“ITC”) under Section 25D of the Internal Revenue Code of 1986, as amended (the “Code”), for residential solar and storage systems purchased through cash or loans, with the credit now set to expire on December 31, 2025.</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the OBBB imposes new timing requirements for ITCs under Section 48E of the Code, which governs ITCs for solar and storage systems. Solar-only projects that do not commence construction within 12 months of the OBBB’s enactment must now be placed in service by December 31, 2027, to retain eligibility. While energy storage systems are exempt from this specific deadline, the ITC under Section 48E of the Code generally begins to phase down in 2034. The ITCs decline to 75% for projects beginning construction in 2034, 50% for projects beginning construction in 2035, and phases out entirely for projects beginning construction in or after 2036.</w:t>
      </w:r>
    </w:p>
    <w:p>
      <w:pPr>
        <w:spacing w:after="0" w:line="11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legislation also raises the domestic content threshold for bonus ITC eligibility under Section 48E of the Code to match the thresholds under Section 45Y of the Code, increasing the required domestic cost share to 45% for projects beginning construction on or after June 16, 2025 and before January 1, 2026. The percentage increases to 50% for projects beginning construction during calendar year 2026 and 55% for projects beginning construction after December 31, 2026. In parallel, the OBBB introduces new compliance requirements under the Foreign Entity of Concern (“FEOC”) provisions applicable to both Section 48E of the Code and the Advanced Manufacturing Production Tax Credit (“AMPTC”) under Section 45X of the Code. These provisions establish escalating content sourcing restrictions and other restrictions, generally applicable to taxable years beginning after the date of enactment of the OBBB, for qualifying solar and storage projects and for manufactured components.</w:t>
      </w:r>
    </w:p>
    <w:p>
      <w:pPr>
        <w:spacing w:after="0" w:line="10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7, 2025, the President issued an Executive Order directing the Treasury Department to provide updated guidance within 45 days regarding the “beginning of construction” rules for Section 48E of the Code and to implement the FEOC restrictions.</w:t>
      </w:r>
    </w:p>
    <w:p>
      <w:pPr>
        <w:spacing w:after="0" w:line="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legislative and regulatory developments may negatively impact our eligibility for certain tax credits, the competitiveness of our offerings to solar and storage system lease providers, and the overall demand for our products. If we are unable to meet the revised domestic content or FEOC requirements, our ability to qualify for these incentives could be impaired, which may adversely affect our business and results of operations.</w:t>
      </w:r>
    </w:p>
    <w:p>
      <w:pPr>
        <w:spacing w:after="0" w:line="10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Demand for Products. </w:t>
      </w:r>
      <w:r>
        <w:rPr>
          <w:rFonts w:ascii="Times New Roman" w:cs="Times New Roman" w:eastAsia="Times New Roman" w:hAnsi="Times New Roman"/>
          <w:sz w:val="18"/>
          <w:szCs w:val="18"/>
          <w:color w:val="auto"/>
        </w:rPr>
        <w:t>Demand for our products has continued to increase since the beginning of 2024 following an industry-wide downturn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began in the second half of 2023. Since the beginning of 2024, we have seen a general recovery across the major markets we serve, particularly in Europe and, to a lesser extent, the United States. We believe this improvement is driven by a combination of strengthening market conditions and our ability to increase our share in the markets we serve.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Macroeconomic and Market Conditions. </w:t>
      </w:r>
      <w:r>
        <w:rPr>
          <w:rFonts w:ascii="Times New Roman" w:cs="Times New Roman" w:eastAsia="Times New Roman" w:hAnsi="Times New Roman"/>
          <w:sz w:val="18"/>
          <w:szCs w:val="18"/>
          <w:color w:val="auto"/>
        </w:rPr>
        <w:t>The global macroeconomic and market uncertainty has adversely impacted the U.S. and global economies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may continue to do so. As our global footprint expands, we are increasingly exposed to the effects of this evolving environment, including heightened inflationary pressures, interest rate volatility, tariffs, foreign currency fluctuations, potential economic slowdowns or recessions, geopolitical tensions, and regulatory changes stemming from current and future trade policies. A tighter credit market for consumer and business spending could, in turn, adversely affect the spending levels of installers and end users and lead to increased price competition for our products. Reductions in customer spending in response to unfavorable or uncertain macroeconomic and market conditions, globally or in a particular region where we operate, have adversely affected, and could continue to adversely affect, our business, results of operations and financial condition.</w:t>
      </w:r>
    </w:p>
    <w:p>
      <w:pPr>
        <w:spacing w:after="0" w:line="10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Expansion of Sales, Customers, and Product Offerings. </w:t>
      </w:r>
      <w:r>
        <w:rPr>
          <w:rFonts w:ascii="Times New Roman" w:cs="Times New Roman" w:eastAsia="Times New Roman" w:hAnsi="Times New Roman"/>
          <w:sz w:val="18"/>
          <w:szCs w:val="18"/>
          <w:color w:val="auto"/>
        </w:rPr>
        <w:t>Our ability to grow revenue, in part, depends on expanding both our product and 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and our customer base. We primarily acquire new customers through collaboration with industry partners and distributors, and while we expect near-term revenue to remain concentrated among existing customers, we plan to expand our presence in the residential markets in the U.S. and EMEA. While the majority of our North American revenue is currently generated from commercial and industrial markets, we are actively working to grow our presence in the U.S. residential market through offerings with residential solar providers. Internationally, we continue to evaluate and invest in new market opportunities, particularly in the EMEA region, where we have begun offering our residential solutions in Italy and Germany.</w:t>
      </w:r>
    </w:p>
    <w:p>
      <w:pPr>
        <w:spacing w:after="0" w:line="1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we have made substantial investments in research and development to support new product introductions. Although a significant portion of our revenue is derived from our MLPE products, we are continuing to develop and promote additional offerings such as our GO Energy Storage Systems (“GO ESS”) and Predict+ service, which we believe will help contribute to long-term revenue growth and market leadership.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used by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public competitors and are regularly used by securities analysts, institutional investors, and other interested parties in analyzing operating performance and prospects.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these metrics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vMerge w:val="restart"/>
          </w:tcPr>
          <w:p>
            <w:pPr>
              <w:spacing w:after="0"/>
              <w:rPr>
                <w:sz w:val="15"/>
                <w:szCs w:val="15"/>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9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900" w:type="dxa"/>
            <w:vAlign w:val="bottom"/>
            <w:shd w:val="clear" w:color="auto" w:fill="CFF0FC"/>
          </w:tcPr>
          <w:p>
            <w:pPr>
              <w:jc w:val="right"/>
              <w:ind w:right="7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24,055</w:t>
            </w: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12,701</w:t>
            </w: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42,894</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6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22,503</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900" w:type="dxa"/>
            <w:vAlign w:val="bottom"/>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10,763</w:t>
            </w:r>
          </w:p>
        </w:tc>
        <w:tc>
          <w:tcPr>
            <w:tcW w:w="240" w:type="dxa"/>
            <w:vAlign w:val="bottom"/>
          </w:tcPr>
          <w:p>
            <w:pPr>
              <w:spacing w:after="0"/>
              <w:rPr>
                <w:sz w:val="12"/>
                <w:szCs w:val="12"/>
                <w:color w:val="auto"/>
              </w:rPr>
            </w:pPr>
          </w:p>
        </w:tc>
        <w:tc>
          <w:tcPr>
            <w:tcW w:w="860" w:type="dxa"/>
            <w:vAlign w:val="bottom"/>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3,867</w:t>
            </w:r>
          </w:p>
        </w:tc>
        <w:tc>
          <w:tcPr>
            <w:tcW w:w="180" w:type="dxa"/>
            <w:vAlign w:val="bottom"/>
          </w:tcPr>
          <w:p>
            <w:pPr>
              <w:spacing w:after="0"/>
              <w:rPr>
                <w:sz w:val="12"/>
                <w:szCs w:val="12"/>
                <w:color w:val="auto"/>
              </w:rPr>
            </w:pPr>
          </w:p>
        </w:tc>
        <w:tc>
          <w:tcPr>
            <w:tcW w:w="920" w:type="dxa"/>
            <w:vAlign w:val="bottom"/>
            <w:gridSpan w:val="2"/>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17,936</w:t>
            </w:r>
          </w:p>
        </w:tc>
        <w:tc>
          <w:tcPr>
            <w:tcW w:w="240" w:type="dxa"/>
            <w:vAlign w:val="bottom"/>
          </w:tcPr>
          <w:p>
            <w:pPr>
              <w:spacing w:after="0"/>
              <w:rPr>
                <w:sz w:val="12"/>
                <w:szCs w:val="12"/>
                <w:color w:val="auto"/>
              </w:rPr>
            </w:pPr>
          </w:p>
        </w:tc>
        <w:tc>
          <w:tcPr>
            <w:tcW w:w="820" w:type="dxa"/>
            <w:vAlign w:val="bottom"/>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Gross margin</w:t>
            </w:r>
          </w:p>
        </w:tc>
        <w:tc>
          <w:tcPr>
            <w:tcW w:w="9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8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8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49"/>
        </w:trPr>
        <w:tc>
          <w:tcPr>
            <w:tcW w:w="5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Loss from operations</w:t>
            </w:r>
          </w:p>
        </w:tc>
        <w:tc>
          <w:tcPr>
            <w:tcW w:w="900" w:type="dxa"/>
            <w:vAlign w:val="bottom"/>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(1,504)</w:t>
            </w:r>
          </w:p>
        </w:tc>
        <w:tc>
          <w:tcPr>
            <w:tcW w:w="860" w:type="dxa"/>
            <w:vAlign w:val="bottom"/>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(8,403)</w:t>
            </w:r>
          </w:p>
        </w:tc>
        <w:tc>
          <w:tcPr>
            <w:tcW w:w="920" w:type="dxa"/>
            <w:vAlign w:val="bottom"/>
            <w:gridSpan w:val="2"/>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(5,481)</w:t>
            </w:r>
          </w:p>
        </w:tc>
        <w:tc>
          <w:tcPr>
            <w:tcW w:w="820" w:type="dxa"/>
            <w:vAlign w:val="bottom"/>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(17,491)</w:t>
            </w:r>
          </w:p>
        </w:tc>
        <w:tc>
          <w:tcPr>
            <w:tcW w:w="0" w:type="dxa"/>
            <w:vAlign w:val="bottom"/>
          </w:tcPr>
          <w:p>
            <w:pPr>
              <w:spacing w:after="0"/>
              <w:rPr>
                <w:sz w:val="1"/>
                <w:szCs w:val="1"/>
                <w:color w:val="auto"/>
              </w:rPr>
            </w:pPr>
          </w:p>
        </w:tc>
      </w:tr>
      <w:tr>
        <w:trPr>
          <w:trHeight w:val="148"/>
        </w:trPr>
        <w:tc>
          <w:tcPr>
            <w:tcW w:w="5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shd w:val="clear" w:color="auto" w:fill="CFF0FC"/>
          </w:tcPr>
          <w:p>
            <w:pPr>
              <w:jc w:val="right"/>
              <w:ind w:right="7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(4,430)</w:t>
            </w:r>
          </w:p>
        </w:tc>
        <w:tc>
          <w:tcPr>
            <w:tcW w:w="860" w:type="dxa"/>
            <w:vAlign w:val="bottom"/>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(11,321)</w:t>
            </w:r>
          </w:p>
        </w:tc>
        <w:tc>
          <w:tcPr>
            <w:tcW w:w="920" w:type="dxa"/>
            <w:vAlign w:val="bottom"/>
            <w:gridSpan w:val="2"/>
            <w:shd w:val="clear" w:color="auto" w:fill="CFF0FC"/>
          </w:tcPr>
          <w:p>
            <w:pPr>
              <w:jc w:val="right"/>
              <w:ind w:right="7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(11,431)</w:t>
            </w:r>
          </w:p>
        </w:tc>
        <w:tc>
          <w:tcPr>
            <w:tcW w:w="820" w:type="dxa"/>
            <w:vAlign w:val="bottom"/>
            <w:shd w:val="clear" w:color="auto" w:fill="CFF0FC"/>
          </w:tcPr>
          <w:p>
            <w:pPr>
              <w:jc w:val="right"/>
              <w:ind w:right="6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(22,827)</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define gross profit as total net revenue less cost of revenue, and define gross margin, expressed as a percentage, as the ratio of gross profit to revenue. Gross profit and margin can be used to understand our financial performance and efficiency and allow investors to evaluate its pricing strategy and compare it against competitors. We use these metrics to make strategic decisions identifying areas for improvement, set targets for future performance and make informed decisions about how to allocate resources going forward.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and Comparison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4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4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24,055</w:t>
            </w:r>
          </w:p>
        </w:tc>
        <w:tc>
          <w:tcPr>
            <w:tcW w:w="4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12,701</w:t>
            </w:r>
          </w:p>
        </w:tc>
        <w:tc>
          <w:tcPr>
            <w:tcW w:w="4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11,354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89.4%  $</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42,894</w:t>
            </w:r>
          </w:p>
        </w:tc>
        <w:tc>
          <w:tcPr>
            <w:tcW w:w="3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22,503</w:t>
            </w:r>
          </w:p>
        </w:tc>
        <w:tc>
          <w:tcPr>
            <w:tcW w:w="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20,391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revenue increased by $11.4 million or 89.4% for the three months ended June 30, 2025, as compared to the same period in 2024, which is driven primarily by an increase of $8.7 million or 73.2% in net revenue from our MLPE product line, which is primarily attributable to the continued market recovery that began in the first quarter of 2024 and an increased market acceptance of the product line. Additionally, our GO ESS product line increased by $1.7 million or 325.7% in net revenue for the three months ended June 30, 2025, compared to the same period in 2024, which is primarily attributable to increased promotional activities.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revenue increased by $20.4 million or 90.6% for the six months ended June 30, 2025, as compared to the same period in 2024, which is driven primarily by an increase of $16.7 million or 84.4% in net revenue from our MLPE product line, which is primarily attributable to the continued market recovery that began in the first quarter of 2024 and an increased market acceptance of the product line. Additionally, our GO ESS product line increased by $2.4 million or 127.1% in net revenue for the six months ended June 30, 2025, compared to the same period in 2024, which is primarily attributable to increased promotional activities.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the section below for a discussion of the factors influencing the fluctuations in net revenue for each geographic region.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4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EMEA</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18,259</w:t>
            </w:r>
          </w:p>
        </w:tc>
        <w:tc>
          <w:tcPr>
            <w:tcW w:w="400" w:type="dxa"/>
            <w:vAlign w:val="bottom"/>
            <w:gridSpan w:val="2"/>
            <w:shd w:val="clear" w:color="auto" w:fill="CFF0FC"/>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6,998</w:t>
            </w:r>
          </w:p>
        </w:tc>
        <w:tc>
          <w:tcPr>
            <w:tcW w:w="46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11,261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160.9%</w:t>
            </w:r>
          </w:p>
        </w:tc>
        <w:tc>
          <w:tcPr>
            <w:tcW w:w="24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29,811</w:t>
            </w:r>
          </w:p>
        </w:tc>
        <w:tc>
          <w:tcPr>
            <w:tcW w:w="380" w:type="dxa"/>
            <w:vAlign w:val="bottom"/>
            <w:gridSpan w:val="2"/>
            <w:shd w:val="clear" w:color="auto" w:fill="CFF0FC"/>
          </w:tcPr>
          <w:p>
            <w:pPr>
              <w:jc w:val="right"/>
              <w:ind w:right="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12,787</w:t>
            </w:r>
          </w:p>
        </w:tc>
        <w:tc>
          <w:tcPr>
            <w:tcW w:w="42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17,024</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49"/>
        </w:trPr>
        <w:tc>
          <w:tcPr>
            <w:tcW w:w="3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Americas</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5,572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148"/>
        </w:trPr>
        <w:tc>
          <w:tcPr>
            <w:tcW w:w="30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APAC</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2,868</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1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(58.1)%</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3,769</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2"/>
        </w:trPr>
        <w:tc>
          <w:tcPr>
            <w:tcW w:w="3000" w:type="dxa"/>
            <w:vAlign w:val="bottom"/>
            <w:tcBorders>
              <w:top w:val="single" w:sz="8" w:color="CFF0FC"/>
              <w:bottom w:val="single" w:sz="8" w:color="CFF0FC"/>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net revenue</w:t>
            </w: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24,055</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12,701</w:t>
            </w:r>
          </w:p>
        </w:tc>
        <w:tc>
          <w:tcPr>
            <w:tcW w:w="220" w:type="dxa"/>
            <w:vAlign w:val="bottom"/>
            <w:tcBorders>
              <w:top w:val="single" w:sz="8" w:color="CFF0FC"/>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11,354</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720" w:type="dxa"/>
            <w:vAlign w:val="bottom"/>
            <w:tcBorders>
              <w:top w:val="single" w:sz="8" w:color="CFF0FC"/>
              <w:bottom w:val="single" w:sz="8" w:color="CFF0FC"/>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89.4%</w:t>
            </w:r>
          </w:p>
        </w:tc>
        <w:tc>
          <w:tcPr>
            <w:tcW w:w="6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42,894</w:t>
            </w:r>
          </w:p>
        </w:tc>
        <w:tc>
          <w:tcPr>
            <w:tcW w:w="22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22,503</w:t>
            </w:r>
          </w:p>
        </w:tc>
        <w:tc>
          <w:tcPr>
            <w:tcW w:w="22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20,391</w:t>
            </w:r>
          </w:p>
        </w:tc>
        <w:tc>
          <w:tcPr>
            <w:tcW w:w="2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700" w:type="dxa"/>
            <w:vAlign w:val="bottom"/>
            <w:tcBorders>
              <w:top w:val="single" w:sz="8" w:color="CFF0FC"/>
              <w:bottom w:val="single" w:sz="8" w:color="CFF0FC"/>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-128270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-128270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-128270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-128270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-128270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-128270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117" w:lineRule="exact"/>
        <w:rPr>
          <w:sz w:val="20"/>
          <w:szCs w:val="20"/>
          <w:color w:val="auto"/>
        </w:rPr>
      </w:pPr>
    </w:p>
    <w:p>
      <w:pPr>
        <w:jc w:val="both"/>
        <w:ind w:left="1020" w:hanging="503"/>
        <w:spacing w:after="0" w:line="267"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 Net revenue for the EMEA region increased by $11.3 million or 160.9% for the three months ended June 30,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compared to the same period in 2024, which is driven primarily by an increase of $9.7 million and $1.4 million in net revenue from our MLPE and GO ESS product lines, respectively. The growth was primarily driven by higher demand of</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left="1020"/>
        <w:spacing w:after="0" w:line="282" w:lineRule="auto"/>
        <w:rPr>
          <w:sz w:val="20"/>
          <w:szCs w:val="20"/>
          <w:color w:val="auto"/>
        </w:rPr>
      </w:pPr>
      <w:r>
        <w:rPr>
          <w:rFonts w:ascii="Times New Roman" w:cs="Times New Roman" w:eastAsia="Times New Roman" w:hAnsi="Times New Roman"/>
          <w:sz w:val="18"/>
          <w:szCs w:val="18"/>
          <w:color w:val="auto"/>
        </w:rPr>
        <w:t>our MLPE products in Germany, the Czech Republic, the United Kingdom, Italy and Poland, in addition to the sale of $1.1 million of GO ESS product to a customer in Italy.</w:t>
      </w:r>
    </w:p>
    <w:p>
      <w:pPr>
        <w:spacing w:after="0" w:line="52" w:lineRule="exact"/>
        <w:rPr>
          <w:sz w:val="20"/>
          <w:szCs w:val="20"/>
          <w:color w:val="auto"/>
        </w:rPr>
      </w:pPr>
    </w:p>
    <w:p>
      <w:pPr>
        <w:jc w:val="both"/>
        <w:ind w:left="102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 Net revenue for the Americas region increased by $1.8 million or 62.1% for the three months ended June 30,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compared to the same period in 2024, which is driven primarily by increases of $0.7 million, $0.6 million and $0.4 million in net revenue from our MLPE product line, royalty revenue, and GO ESS product lines, respectively. This growth was primarily attributable to increased demand in the United States, driven by higher sales of our MLPE product line, increased promotional activities for our GO ESS product line, and increased royalty revenue resulting from a new royalty agreement entered into during the three months ended June 30, 2025.</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APAC - Net revenue for the APAC region decreased by $1.7 million or 58.1% for the three months ended June 30,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compared to the same period in 2024, which is driven primarily by a decrease of $1.7 million in net revenue from our MLPE product line. This decrease was primarily driven by lower demand of our MLPE products in China and Thailand.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119" w:lineRule="exact"/>
        <w:rPr>
          <w:sz w:val="20"/>
          <w:szCs w:val="20"/>
          <w:color w:val="auto"/>
        </w:rPr>
      </w:pPr>
    </w:p>
    <w:p>
      <w:pPr>
        <w:jc w:val="both"/>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EMEA - Net revenue for the EMEA region increased by $17.0 million or 133.1% for the six months ended June 30, 2025, as compared to the same period in 2024, which is driven primarily by an increase of $14.7 million and $2.1 million in net revenue from our MLPE and GO ESS product lines, respectively. The growth was primarily driven by higher demand of our MLPE products in the Germany, Czech Republic, United Kingdom, Italy and Poland, in addition to the sale of $2.1 million of GO ESS product to a customer in Italy.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 Net revenue for the Americas region increased by $3.7 million or 67.2% for the six months ended June 30, 2025, as compared to the same period in 2024, which is driven primarily by increases of $2.5 million, $0.7 million and $0.3 million in net revenue from our MLPE product line, royalty revenue, and GO ESS product lines, respectively. This growth was primarily attributable to increased demand in the United States, driven by higher sales of our MLPE product line, increased promotional activities for our GO ESS product line, and increased royalty revenue resulting from a new royalty agreement entered into during the three months ended June 30, 2025.</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APAC - Net revenue for the APAC region decreased by $0.4 million or 9.0% for the six months ended June 30, 2025, as compared to the same period in 2024, which is driven primarily by a decrease of $0.4 million in net revenue from our MLPE product line. This decrease was primarily driven by lower demand of our MLPE products in Singapore, Philippines and Australia, and was partially offset by an increase in demand of our MLPE products in China and Thailand.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4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13,292</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8,834</w:t>
            </w:r>
          </w:p>
        </w:tc>
        <w:tc>
          <w:tcPr>
            <w:tcW w:w="1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4,458</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50.5%</w:t>
            </w: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24,958</w:t>
            </w:r>
          </w:p>
        </w:tc>
        <w:tc>
          <w:tcPr>
            <w:tcW w:w="18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15,870</w:t>
            </w: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9,088</w:t>
            </w: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10,763</w:t>
            </w:r>
          </w:p>
        </w:tc>
        <w:tc>
          <w:tcPr>
            <w:tcW w:w="14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3,867</w:t>
            </w:r>
          </w:p>
        </w:tc>
        <w:tc>
          <w:tcPr>
            <w:tcW w:w="180" w:type="dxa"/>
            <w:vAlign w:val="bottom"/>
          </w:tcPr>
          <w:p>
            <w:pPr>
              <w:spacing w:after="0"/>
              <w:rPr>
                <w:sz w:val="12"/>
                <w:szCs w:val="12"/>
                <w:color w:val="auto"/>
              </w:rPr>
            </w:pPr>
          </w:p>
        </w:tc>
        <w:tc>
          <w:tcPr>
            <w:tcW w:w="2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6,896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178.3%</w:t>
            </w:r>
          </w:p>
        </w:tc>
        <w:tc>
          <w:tcPr>
            <w:tcW w:w="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17,936</w:t>
            </w:r>
          </w:p>
        </w:tc>
        <w:tc>
          <w:tcPr>
            <w:tcW w:w="180" w:type="dxa"/>
            <w:vAlign w:val="bottom"/>
          </w:tcPr>
          <w:p>
            <w:pPr>
              <w:spacing w:after="0"/>
              <w:rPr>
                <w:sz w:val="12"/>
                <w:szCs w:val="12"/>
                <w:color w:val="auto"/>
              </w:rPr>
            </w:pPr>
          </w:p>
        </w:tc>
        <w:tc>
          <w:tcPr>
            <w:tcW w:w="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6,633</w:t>
            </w:r>
          </w:p>
        </w:tc>
        <w:tc>
          <w:tcPr>
            <w:tcW w:w="300" w:type="dxa"/>
            <w:vAlign w:val="bottom"/>
          </w:tcPr>
          <w:p>
            <w:pPr>
              <w:spacing w:after="0"/>
              <w:rPr>
                <w:sz w:val="12"/>
                <w:szCs w:val="12"/>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11,303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170.4%</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44.7%</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Cost of revenues increased by $4.5 million or 50.5% and gross profit increased by $6.9 million or 178.3% for the three months ended June 30, 2025, as compared to the same period in 2024, which is primarily driven by an 89.4% increase in net revenue for the three months ended June 30, 2025, compared to the same period in 2024. In addition to higher net revenue, the increase was driven by higher product warranty expense, primarily due to an increased number of units sold during the three months ended June 30, 2025, compared to the same period in 2024, The increase was partially offset due to a portion of the higher net revenue during the three months ended June 30, 2025, including sales of GO ESS inventory that was impaired in the fourth quarter of 2024.</w:t>
      </w:r>
    </w:p>
    <w:p>
      <w:pPr>
        <w:spacing w:after="0" w:line="14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Gross margin increased by 14.3 percentage points for the three months ended June 30, 2025, as compared to the same period in 2024. The increase was primarily driven by the sale of previously reserved GO ESS inventory at higher margins as a result of the inventory reserves recorded against the product line in the second half of the prior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Cost of revenues increased by $9.1 million or 57.3% and gross profit increased by $11.3 million or 170.4% for the six months ended June 30, 2025, as compared to the same period in 2024, which is primarily driven by a 90.6% increase in net revenue for the six months ended June 30, 2025, compared to the same period in 2024. In addition to higher net revenue, the increase was driven by higher</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product warranty expense, primarily due to an increased number of units sold during the six months ended June 30, 2025, compared to the same period in 2024, as well as a change in estimated service delivery costs, which increased due to current macroeconomic conditions. The increase was partially offset due to a portion of the higher net revenue including sales of previously impaired GO ESS inventory during the six months ended June 30, 2025.</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Gross margin increased by 12.3 percentage points for the six months ended June 30, 2025, as compared to the same period in 2024. The increase was primarily driven by the sale of previously reserved GO ESS inventory at higher margins as a result of the inventory reserves recorded against the product line in the second half of the prior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2,267</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2,704</w:t>
            </w:r>
          </w:p>
        </w:tc>
        <w:tc>
          <w:tcPr>
            <w:tcW w:w="1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ind w:left="320"/>
              <w:spacing w:after="0" w:line="142" w:lineRule="exact"/>
              <w:rPr>
                <w:sz w:val="20"/>
                <w:szCs w:val="20"/>
                <w:color w:val="auto"/>
              </w:rPr>
            </w:pPr>
            <w:r>
              <w:rPr>
                <w:rFonts w:ascii="Times New Roman" w:cs="Times New Roman" w:eastAsia="Times New Roman" w:hAnsi="Times New Roman"/>
                <w:sz w:val="14"/>
                <w:szCs w:val="14"/>
                <w:color w:val="auto"/>
              </w:rPr>
              <w:t>(437)</w:t>
            </w:r>
          </w:p>
        </w:tc>
        <w:tc>
          <w:tcPr>
            <w:tcW w:w="20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(16.2)%  $</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4,431</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5,175</w:t>
            </w:r>
          </w:p>
        </w:tc>
        <w:tc>
          <w:tcPr>
            <w:tcW w:w="2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(744)</w:t>
            </w:r>
          </w:p>
        </w:tc>
        <w:tc>
          <w:tcPr>
            <w:tcW w:w="3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88"/>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 of net revenue</w:t>
            </w:r>
          </w:p>
        </w:tc>
        <w:tc>
          <w:tcPr>
            <w:tcW w:w="18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by $0.4 million or 16.2% for the three months ended June 30, 2025, as compared to the same period in 2024. The decrease is attributed to reduced payroll expense resulting from lower headcount during the three months ended June 30, 2025, compared to the same period in 2024, primarily due to the previously disclosed workforce reductions of 10% in April 2024 that were implemented in response to the industry-wide slowdown in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by $0.7 million or 14.4% for the six months ended June 30, 2025, as compared to the same period in 2024. The decrease is attributed to reduced payroll expense resulting from lower headcount during the six months ended June 30, 2025, compared to the same period in 2024, primarily due to the previously disclosed workforce reductions of 10% in April 2024 that were implemented in response to the industry-wide slowdown in 2023.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 of research and development expenses may fluctuate from period to period due to differing levels and stages of development activity.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Sales and marketing</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4,412</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4,055</w:t>
            </w:r>
          </w:p>
        </w:tc>
        <w:tc>
          <w:tcPr>
            <w:tcW w:w="1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8.8%  $</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8,328</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8,658</w:t>
            </w:r>
          </w:p>
        </w:tc>
        <w:tc>
          <w:tcPr>
            <w:tcW w:w="2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(330)</w:t>
            </w:r>
          </w:p>
        </w:tc>
        <w:tc>
          <w:tcPr>
            <w:tcW w:w="3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8"/>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 of net revenue</w:t>
            </w:r>
          </w:p>
        </w:tc>
        <w:tc>
          <w:tcPr>
            <w:tcW w:w="18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$0.4 million or 8.8% for the three months ended June 30, 2025, as compared to the same period in 2024. The increase is attributed to increased professional fees and sales commission expense due to higher sales during the three months ended June 30, 2025, compared to the same period in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Sales and marketing expense decreased by $0.3 million or 3.8% for the six months ended June 30, 2025, as compared to the same period in 2024. The decrease is attributed to reduced payroll expense resulting from lower headcount during the six months ended June 30, 2025, compared to the same period in 2024, primarily due to the previously disclosed workforce reductions of 10% in April 2024 that were implemented in response to the industry-wide slowdown in 2023. This decrease is partially offset by an increase in professional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3"/>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5,588</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5,511</w:t>
            </w:r>
          </w:p>
        </w:tc>
        <w:tc>
          <w:tcPr>
            <w:tcW w:w="18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20" w:type="dxa"/>
            <w:vAlign w:val="bottom"/>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  $</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10,658</w:t>
            </w:r>
          </w:p>
        </w:tc>
        <w:tc>
          <w:tcPr>
            <w:tcW w:w="2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10,291</w:t>
            </w:r>
          </w:p>
        </w:tc>
        <w:tc>
          <w:tcPr>
            <w:tcW w:w="2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367</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8"/>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Percentage of net revenue</w:t>
            </w:r>
          </w:p>
        </w:tc>
        <w:tc>
          <w:tcPr>
            <w:tcW w:w="18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 increased by a de minimis amount for the three months ended June 30, 2025, as compared to the same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$0.4 million or 3.6% for the six months ended June 30, 2025, as compared to the same period in 2024, primarily due to an increase in payroll-related expense driven by the accrual for the annual executive short-term incentive compensation expected to be paid out in 2025, with no comparable short-term incentive compensation accrual in the prior period. The increase is partially offset by a decrease in insurance expense during the six months ended June 30, 2025, compared to same period in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4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3"/>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4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Change in fair value of contingent shares liability</w:t>
            </w:r>
          </w:p>
        </w:tc>
        <w:tc>
          <w:tcPr>
            <w:tcW w:w="32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NM</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(155)</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155</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8"/>
        </w:trPr>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49"/>
        </w:trPr>
        <w:tc>
          <w:tcPr>
            <w:tcW w:w="3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42"/>
        </w:trPr>
        <w:tc>
          <w:tcPr>
            <w:tcW w:w="336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other expenses, net</w:t>
            </w:r>
          </w:p>
        </w:tc>
        <w:tc>
          <w:tcPr>
            <w:tcW w:w="14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2,768</w:t>
            </w:r>
          </w:p>
        </w:tc>
        <w:tc>
          <w:tcPr>
            <w:tcW w:w="60" w:type="dxa"/>
            <w:vAlign w:val="bottom"/>
            <w:tcBorders>
              <w:top w:val="single" w:sz="8" w:color="CFF0FC"/>
            </w:tcBorders>
          </w:tcPr>
          <w:p>
            <w:pPr>
              <w:spacing w:after="0"/>
              <w:rPr>
                <w:sz w:val="12"/>
                <w:szCs w:val="12"/>
                <w:color w:val="auto"/>
              </w:rPr>
            </w:pPr>
          </w:p>
        </w:tc>
        <w:tc>
          <w:tcPr>
            <w:tcW w:w="20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2,902</w:t>
            </w:r>
          </w:p>
        </w:tc>
        <w:tc>
          <w:tcPr>
            <w:tcW w:w="20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(134)</w:t>
            </w:r>
          </w:p>
        </w:tc>
        <w:tc>
          <w:tcPr>
            <w:tcW w:w="22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720" w:type="dxa"/>
            <w:vAlign w:val="bottom"/>
            <w:tcBorders>
              <w:top w:val="single" w:sz="8" w:color="CFF0FC"/>
              <w:bottom w:val="single" w:sz="8" w:color="CFF0FC"/>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5,496</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5,320</w:t>
            </w: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176</w:t>
            </w:r>
          </w:p>
        </w:tc>
        <w:tc>
          <w:tcPr>
            <w:tcW w:w="200" w:type="dxa"/>
            <w:vAlign w:val="bottom"/>
            <w:tcBorders>
              <w:top w:val="single" w:sz="8" w:color="CFF0FC"/>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620" w:type="dxa"/>
            <w:vAlign w:val="bottom"/>
            <w:tcBorders>
              <w:top w:val="single" w:sz="8" w:color="CFF0FC"/>
              <w:bottom w:val="single" w:sz="8" w:color="CFF0FC"/>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-128270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-128270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-128270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-128270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-128270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-128270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and six months ended June 30, 2025, and 2024</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shares liability for the three and six months ended June 30, 2024, was attributable to the revaluation of the contingent shares at each reporting period based on the Company’s share price as of the revaluation date. The final release of the contingent shares occurred on July 25,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increased by a de minimis amount for the three and six months ended June 30, 2025, as compared to the same periods in 2024.</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decreased by a de minimis amount for the three and six months ended June 30, 2025, as compared to the same periods in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ind w:left="38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5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158</w:t>
            </w:r>
          </w:p>
        </w:tc>
        <w:tc>
          <w:tcPr>
            <w:tcW w:w="4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4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color w:val="auto"/>
                <w:w w:val="95"/>
              </w:rPr>
              <w:t>142</w:t>
            </w: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3"/>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NM  $</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454</w:t>
            </w:r>
          </w:p>
        </w:tc>
        <w:tc>
          <w:tcPr>
            <w:tcW w:w="3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4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2025, and 2024</w:t>
      </w:r>
    </w:p>
    <w:p>
      <w:pPr>
        <w:spacing w:after="0" w:line="11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Income tax expense increased $0.1 million for the three months ended June 30,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compared to the same period in 2024. For more information, see Note 13, “Income Taxes” of the notes to condensed consolidated financial statements included in Part I, Item 1 of this Quarterly Report on Form 10-Q.</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2025, and 2024</w:t>
      </w:r>
    </w:p>
    <w:p>
      <w:pPr>
        <w:spacing w:after="0" w:line="11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Income tax expense increased $0.4 million for the six months ended June 30,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compared to the same period in 2024, primarily related to a settlement of a foreign tax examination. For more information, see Note 13, “Income Taxes” of the notes to condensed consolidated financial statements included in Part I, Item 1 of this Quarterly Report on Form 10-Q.</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Going Concern and Capital Resources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our principal sources of liquidity were cash and cash equivalents and marketable securities of $28.0 million and negative working capital, which we define as current assets less current liabilities, of $7.7 million. Our principal uses of cash are for funding our operations, capital expenditures, other working capital requirements, other investments and the repayment of our Convertible Promissory Note (as defined below) due in January 2026.</w:t>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ASU No. 2014-15, Disclosure of Uncertainties about an Entity’s Ability to Continue as a Going Concern</w:t>
      </w:r>
      <w:r>
        <w:rPr>
          <w:rFonts w:ascii="Times New Roman" w:cs="Times New Roman" w:eastAsia="Times New Roman" w:hAnsi="Times New Roman"/>
          <w:sz w:val="18"/>
          <w:szCs w:val="18"/>
          <w:color w:val="auto"/>
        </w:rPr>
        <w:t xml:space="preserve"> (“Subtopic 205-40”), we evaluated whether there are conditions and events, considered in the aggregate, that raise substantial doubt about our ability to continue as a going concern within one year after the date that the consolidated financial statements are issued. The Convertible Promissory Note, which has an aggregate principal amount outstanding of $50.0 million as of June 30, 2025, has a maturity date of January 9, 2026. See Note 7, “Debt,” of the notes to condensed consolidated financial statements for additional information regarding the Convertible Promissory Note. Management determined as a result of this evaluation, our current cash, working capital position, and upcoming maturity date of its Convertible Promissory Note, raises substantial doubt about our ability to continue as a going concern within one year after the date that the consolidated financial statements are issued.</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exploring options for the refinancing of, or other transactions to facilitate the payment of, the Convertible Promissory Note. Our ability to raise capital may be constrained by the price of and demand for our common stock. Additional capital may not be available on favorable terms or at all, and could further dilute our current stockholders. Management cannot conclude as of the date of this filing that its plans are probable of being successfully implemented. There can be no assurance that we will be able to raise sufficient additional capital or obtain financing that will provide it with sufficient liquidity to satisfy its Convertible Promissory Note obligation in January 2026.</w:t>
      </w:r>
    </w:p>
    <w:p>
      <w:pPr>
        <w:spacing w:after="0" w:line="10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on a basis that assumes we will continue as a going concern which contemplates the realization of assets and satisfaction of liabilities and commitments in the ordinary course of business. Accordingly, the accompanying condensed consolidated financial statements do not include any adjustments that might result from the outcome of this uncertainty.</w:t>
      </w:r>
    </w:p>
    <w:p>
      <w:pPr>
        <w:spacing w:after="0" w:line="10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At-the-market offering. </w:t>
      </w:r>
      <w:r>
        <w:rPr>
          <w:rFonts w:ascii="Times New Roman" w:cs="Times New Roman" w:eastAsia="Times New Roman" w:hAnsi="Times New Roman"/>
          <w:sz w:val="18"/>
          <w:szCs w:val="18"/>
          <w:color w:val="auto"/>
        </w:rPr>
        <w:t>In November 2024, we entered into the ATM Agreement with the Sales Agent, pursuant to which we may offer and sell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our common stock having an aggregate gross sales price of up to $14.2 million, from time to time, through the Sales Agent in transactions deemed to be “at-the-market” offerings under federal securities laws (the “2024 ATM Program”). The offering of Shares pursuant to the ATM Agreement will terminate upon (a) five business days’ advance notice from us to the Sales Agent or five business days’ advance notice from the Sales Agent to us or</w:t>
      </w:r>
    </w:p>
    <w:p>
      <w:pPr>
        <w:spacing w:after="0" w:line="3" w:lineRule="exact"/>
        <w:rPr>
          <w:sz w:val="20"/>
          <w:szCs w:val="20"/>
          <w:color w:val="auto"/>
        </w:rPr>
      </w:pPr>
    </w:p>
    <w:p>
      <w:pPr>
        <w:ind w:firstLine="8"/>
        <w:spacing w:after="0" w:line="260" w:lineRule="auto"/>
        <w:tabs>
          <w:tab w:leader="none" w:pos="2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by mutual agreement of the parties pursuant to the terms of the ATM Agreement. Sales under the 2024 ATM Program are subject to a maximum commission of up to 3.0% of the gross proceeds per share sold through the Sales Agent.</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a total of 987,209 shares of common stock were issued pursuant to the Sales Agreement for aggregate gross proceeds of approximately $1.1 million, before deducting commissions and offering expenses payable by us. As of June 30, 2025, $13.1 million remained available under the ATM Agreement. Refer to Note 9, “Common Stock”, in Part I, Item 1 of this Quarterly Report on Form 10-Q for additional information.</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Convertible Note. </w:t>
      </w:r>
      <w:r>
        <w:rPr>
          <w:rFonts w:ascii="Times New Roman" w:cs="Times New Roman" w:eastAsia="Times New Roman" w:hAnsi="Times New Roman"/>
          <w:sz w:val="18"/>
          <w:szCs w:val="18"/>
          <w:color w:val="auto"/>
        </w:rPr>
        <w:t>As of June 30, 2025, our Convertible Note obligation was $50.0 million. Upon reaching the maturity date of the Convertible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 January 9, 2026, we would need to pay cash or issue shares of common stock equal to the aggregate principal amount of the Convertible Note to be converted. As noted above, there is substantial doubt about our ability to continue as a going concern within one year after the date that the consolidated financial statements are issued due to the upcoming maturity date of the Convertible Note. Management continues to explore options to address the substantial doubt, however there can be no assurance that we will be able to raise sufficient additional capital or obtain financing that will provide it with sufficient liquidity to satisfy the Convertible Promissory Note obligation. Refer to the section above for more information regarding our going concern analysis and management’s plan to address the substantial doubt. Refer to Note 7, in Part I, Item 1 of this Quarterly Report on Form 10-Q for additional information.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vMerge w:val="restart"/>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6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(12,872)</w:t>
            </w: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(9,643)</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(1,534)</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-162560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closely monitors expenditures and is focused on obtaining new customers and continuing to develop our products and services. Cash from operations and our liquidity could also be affected by various risks and uncertainties, including, but not limited to, economic concerns related to tariffs, interest rates, inflation or the supply chain, including timing of cash collections from customers and other risks which are detailed in the section entitled “Cautionary Note Regarding Forward-Looking Statements” included elsewhere in this Quarterly Report on Form 10-Q, including in Part II, Item 1A, “Risk Factors” of this Quarterly Report on Form 10-Q and in Part I, Item 1A, “Risk Factors” in the 2024 Annual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consisted of net loss adjusted for certain non-cash reconciling items, such as non-cash interest expense, stock-based compensation expense, provision to write down inventories to net realizable value, depreciation and amortization, and non-cash lease expense, and changes in our operating assets and liabilities. Cash provided by operating activities increased by $20.1 million during the six months ended June 30, 2025, as compared to the same period in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Provided by Investing Activities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$9.6 million for the six months ended June 30, 2025, which is primarily attributable to the purchase of marketable securities and was partially offset by the sale and maturities of marketable securities. Net cash provided by investing activities was $23.4 million for the six months ended June 30, 2024, which is primarily attributable to the sale of marketable securities and was partially offset by the purchase property and equipment.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increased by $0.6 million during the six months ended June 30, 2025, compared to the same period in 2024 which is primarily attributable to the proceeds from the Company’s at-the-market offering and proceeds from the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contractual obligations primarily consist of our Convertible Promissory Note, obligations under operating leases and inventory component purchases. As of June 30, 2025, there have been no material changes from our disclosure in our 2024 Annual Report. For more information on our future minimum operating leases, see Note 11, “Leases” and for more information on our Convertible Promissory Notes and other related debt, see Note 7, “Debt,” of the notes to condensed consolidated financial statements included in Part I, Item 1 of this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periods presented, the Company did not have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period ended June 30, 2025, there have been no material changes to our critical accounting estimates from the information reported in our 2024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the Company’s condensed consolidated financial statements, see Part I, Note 2, “Summary of Significant Accounting Policies”, in the notes to condensed consolidated financial statements in this Quarterly Report on Form 10-Q.</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(the “Exchange Act”), the Company is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of June 30, 2025, as defined in Rules 13a-15(e) and 15d-15(e) under the Securities Exchange Act of 1934, as amended (the “Exchange Act”).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upon the evaluation, our Chief Executive Officer and Chief Financial Officer concluded that our disclosure controls were effective as of June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three months ended June 30,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While the Company intends to vigorously defend itself with respect to such disputes, any potential outcomes resulting from such claims would be inherently difficult to quantify.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disclosed in the section entitled “Risk Factors” in Part I, Item 1A, of the Company’s 2024 Annual Report,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 except the following:</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securities.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April 3, 2025, we received a letter from Nasdaq indicating that the listing of the Company’s common stock was not in compliance with Nasdaq Listing Rule 5550(a)(2) (the “Minimum Bid Price Requirement”), as the closing bid price of our common stock was less than $1.00 per share over a consecutive 30- trading-day period. Pursuant to Nasdaq Listing Rule 5810(c)(3)(A), we had a period of 180 calendar days, or until September 30, 2025, to regain compliance with the minimum bid price requirement, with the possibility of extension for an additional 180 calendar days if we meet Nasdaq’s continued listing requirement for market value of publicly held shares and all other initial listing standards for the Nasdaq Capital Market with the exception of the minimum bid price requirement.</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June 16, 2025, we received a letter from Nasdaq notifying us that we were back in compliance with the Minimum Bid Price Requirement for continued listing on Nasdaq as the closing bid price of our stock had been at $1.00 per share or greater for the last 10 consecutive business days prior to the date of such letter, and the matter is now closed. However, there can be no assurance that we will be able to comply with the Minimum Bid Price Requirement in the future.</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Minimum Bid Price Requirement, the corporate governance requirements or the minimum stockholders’ equity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bid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Given our dynamic customer makeup across the world, we and our customers are subject to governmental policies applicable to renewable energy development in numerous jurisdictions.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market for on-grid applications, where solar power, on a standalone basis or paired with energy storage systems, is used to supplement a customer’s electricity purchased from the utility network or sold to a utility under tariff, depends in large part on the availability and size of government-issued subsidies and economic incentives that vary by geographic market. Because our customers’ sales of solar power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National, state and local government bodies in many countries, including the United States, have provided incentives in the form of feed-in tariffs (“FiTs”), NEM tariffs and related policies, rebates, tax credits, tax incentives and other incentives to system owners, distributors, system integrators and manufacturers of solar PV systems and battery energy storage systems to bolster the cost competitiveness of solar electricity in on-grid applications relative to the cost of utility power, and to reduce dependency on other forms of energy. Many of these government incentives expire, phase out over time, have limited funding allocations that require renewal by the applicable jurisdictional authority, or are being changed by governments due to changing market circumstances or changes to national, state or local energy policy.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2025, the OBBB was signed into law, introducing significant changes to clean energy tax credit programs that may impact our financial condition, results of operations and future prospects. The OBBB phases out the Investment Tax Credit (ITC) under Section 25D of the Code for residential solar and storage systems purchased through cash or loans, with the credit now set to expire on December 31, 2025. Additionally, the OBBB imposes new timing requirements for ITCs under Section 48E of the Code, which governs ITCs for leased solar and storage systems. Solar-only projects that do not commence construction within 12 months of the OBBB’s enactment must now be placed in service by December 31, 2027, to retain eligibility. While energy storage systems are exempt from this specific deadline, the ITC under Section 48E of the Code generally for storage begins to phase down in 2034. The ITCs decline to 75% for projects beginning construction in 2034, 50% for projects beginning construction in 2035, and phases out entirely for projects beginning construction in or after 2036. The legislation also raises the domestic content threshold for bonus ITC eligibility under Section 48E of the Code to match the thresholds under Section 45Y of the Code, increasing the required domestic cost share to 45% for projects beginning construction on or after June 16, 2025 and before January 1, 2026. The percentage increases to 50% for projects beginning construction during calendar year 2026 and 55% for projects beginning construction after December 31, 2026. In parallel, the OBBB introduces new compliance requirements under the FEOC provisions applicable to both Section 48E of the Code and the AMPTC under</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Section 45X of the Code. These provisions establish escalating content sourcing restrictions and other restrictions, generally applicable to taxable years beginning after the date of enactment of the OBBB beginning in 2026, for qualifying solar and storage projects and for manufactured components. These legislative and regulatory developments may negatively impact our eligibility for certain tax credits, the competitiveness of our offerings to solar and storage system lease providers, and the overall demand for our products in the U.S. If we are unable to meet the revised domestic content or FEOC requirements, our ability to qualify for these incentives could be impaired, which may adversely affect our business and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several European countries, including Germany, Belgium, Italy, the Netherlands and the United Kingdom, have adopted reductions in or ended their NEM or FiT programs. Certain countries have proposed or enacted taxes levied on renewable energy. These and related developments have significantly impacted the solar industry in Europe and may adversely affect the future demand for solar energy solutions in Europe, which could adversely impact our results of operations.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where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Furthermore, electric utility companies may establish pricing structures or interconnection requirements that could adversely affect our sales and be harmful to the solar and distributed rooftop solar generation industry.</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Among other government-established incentives, net energy metering and related policies have supported the growth of on-grid solar products, and changes to such policies may reduce demand for electricity from our solar service offerings. Net energy metering is a tariffed utility rate program that permits a consumer to sell the excess solar energy that the consumer’s solar panels produce to the electric utility company at a predetermined price. The most basic type of NEM tariff pays consumers the retail rate for electricity that their solar panels export to the grid, less certain “non-bypassable” fees paid by the consumer. However, certain states have sought to move away from retail rate-based net energy metering crediting for compensating excess solar generation. For example, in December 2022, the CPUC adopted a “NEM 3.0” policy, also known as the Net Billing Tariff, that unbundles export compensation from retail rates and instead bases it on a tool called the Avoided Cost Calculator (“ACC”), which estimates the utility costs that are avoided by exports from distributed generation for each hour of the year. The CPUC did seek to ease the transition for the solar market by adopting small “adders” to the hourly ACC export values for the first several years of the tariff. Nevertheless, these ACC-based export compensation values are significantly lower than retail rates for most hours of the year and may therefore increase payback periods, and thereby reduce demand for solar-only systems. Similarly, in November 2023, the CPUC adopted changes to its “Virtual NEM” and “NEM Aggregation” programs that prohibit multi-meter commercial or agricultural property owners from netting solar energy generated at or adjacent to those properties against import charges recorded on the meters at the property, except for residential account holders in a multi-family residential property. These types of modifications to net energy metering policies have impacted and could further harm our business, both in California, where we have derived a significant portion of historical revenues in the United States, and in other jurisdictions, if pursued there.</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Federal, state, local and foreign tax credits, grants and other incentive programs have in the past had a positive effect on our sales since inception. However, if these programs are reduced, eliminated or expire (including the elimination of the ITC at the end of 2025), it could adversely affect sales of our products in the future. Reductions in incentives and uncertainty around future energy policy, including local content requirements, have in the past and could in the future negatively affect us and may continue to negatively affect our business, financial condition, and results of operations as we seek to increase our business domestically and abroad. Furthermore, electric utility companies may establish rate structures or interconnection requirements that could be harmful to the solar industry and adversely affect our sales. Additionally, our ability to expand to other countries may depend on new countries adopting and maintaining tax credits, tax incentives, NEM policies, or other programs to promote solar electricity and storage, to the extent such incentives or programs are not currently in place. Changes in incentive programs or electricity policies could negatively affect returns on our investments in the countries in which we operate as well as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foreign tax laws could have a material adverse effect on our business, cash flow, results of operations or financial conditions.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example, the 2017 Tax Cuts and Jobs Act, or Tax Act, made broad and complex changes to the U.S. tax code, including changes to U.S. federal tax rates, additional limitations on the deductibility of interest, both positive and negative changes to the utilization of future NOL carryforwards, and allowing for the expensing of certain capital expenditures. The 2020 Coronavirus Aid,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52" w:lineRule="auto"/>
        <w:rPr>
          <w:sz w:val="20"/>
          <w:szCs w:val="20"/>
          <w:color w:val="auto"/>
        </w:rPr>
      </w:pPr>
      <w:r>
        <w:rPr>
          <w:rFonts w:ascii="Times New Roman" w:cs="Times New Roman" w:eastAsia="Times New Roman" w:hAnsi="Times New Roman"/>
          <w:sz w:val="18"/>
          <w:szCs w:val="18"/>
          <w:color w:val="auto"/>
        </w:rPr>
        <w:t>Relief, and Economic Security Act, or CARES Act, modified certain provisions of the Tax Act. In addition, on August 16, 2022, the IRA, among other provisions, imposes a 15% minimum tax on the adjusted financial statement income of certain large corporations and a 1% excise tax on corporate stock repurchases by U.S. publicly traded corporations and certain U.S. subsidiaries of non-U.S. publicly traded corporations, as well as significant enhancements of U.S. tax incentives relating to climate and energy investments. The change in U.S. presidential administrations raises the prospect of shifts in public policies and government incentives. Among the recent policy shifts directed by the new presidential administration is a pause in disbursements and review of funding processes for projects supported by the IRA. The exact impact of the Tax Act, the CARES Act and the IRA for future years is difficult to quantify, but these changes could materially affect our effective tax rate in future periods, in addition to any changes made by new tax legislation. In addition, the recently enacted OBBB introduced material changes to clean energy tax credit programs, including the expiration of the ITC under Section 25D of the Code (for residential solar and storage systems purchased through cash or loans) on December 31, 2025, the imposition of new thresholds for bonus ITC eligibility under Section 48E of the Code (which governs ITCs for leased solar and storage systems) and new compliance requirements under the FEOC provisions applicable to both Section 48E of the Code and the AMPTC under Section 45X of the Code (which establish escalating content sourcing restrictions and other restrictions for qualifying solar and storage projects and for manufactured components). These legislative and regulatory developments may negatively impact our eligibility for certain tax credits, the competitiveness of our offerings to solar and storage system lease providers, and the overall demand for our products in the U.S. If we are unable to meet the revised domestic content or FEOC requirements, our ability to qualify for these incentives could be impaired, which may adversely affect our business and results of operations.</w:t>
      </w:r>
    </w:p>
    <w:p>
      <w:pPr>
        <w:spacing w:after="0" w:line="1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“OECD”)/G20 Inclusive Framework on Base Erosion and Profit Shifting has a two-pillar approach to address tax challenges arising from the digitalization of the global economy by (i) allocating profits to market jurisdictions (“Pillar One”) and (ii) ensuring multinational enterprises pay a minimum level of tax regardless of where the headquarters are located or the jurisdictions in which the company operates (“Pillar Two”). Pillar One targets multinational groups with global revenue exceeding €20 billion and a profit-to-revenue ratio of more than 10%. Companies subject to Pillar One will be required to allocate profits and pay taxes to market jurisdictions. Pillar Two focuses on global profit allocation and a global minimum tax rate. In December 2022, the European Union (“EU”) Member States formally adopted the EU’s Pillar Two Directive, which generally provides for a minimum effective tax rate of 15%, as established by the OECD Pillar Two Framework that was supported by over 130 countries worldwide. The EU Pillar Two Directive became effective on January 1, 2024. Other countries are also actively considering changes to their tax laws to adopt certain parts of the OECD’s proposals. Based on the current revenue and profit thresholds, we do not currently expect to be impacted by either Pillar One or Pillar Two, but will continue to monitor and evaluate the potential future impact of both the proposals on our effective tax rate and related impact on our consolidated financial statements and related disclosures. The potential impact of any future rules or regulations to address the tax challenges arising from the digitization of the global economy could have a material adverse effect on our consolidated financial statements.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in evaluating our tax positions and our worldwide provision for taxes. During the ordinary course of business, there are many activities and transactions for which the ultimate tax determination is uncertain. As we expand the scale of our business activities, changes to the taxation of our activities could increase our worldwide effective tax rate, increase the amount of taxes imposed on our business, and harm our financial position.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Any such changes may also apply retroactively to our historical operations and result in taxes greater than the amounts estimated and recorded in our financial statements, which could have a material adverse effect on our operating results or cash flows in the relevant period or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trade tariffs or other trade barriers.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also be negatively affected by the prospect of expanded trade restrictions between the government of the United States and where we or our partners operate. Escalating trade tensions between the United States and China have led to increased tariffs and trade restrictions, including tariffs applicable to some of our products. In addition, the new U.S. presidential administration imposed additional tariffs on goods imported from China, Mexico and Canada, and indicated that that it may impose substantial new or increased tariffs on other foreign imports into the U.S. Any trade war or escalation of a trade war between the U.S. and any other jurisdictions in which we conduct business could potentially impact our hardware component prices and impact any plans to sell products in China and other international markets. The escalation of any “trade war” may also contribute to the rise of inflation, which may negatively affect the United States and global markets. Due to uncertainty regarding the timing, content and extent of changes to tariff and trade policies in the United States and abroad, it is unclear how further expanded trade restrictions may impact us or our partners, although they pose the risk of price instability and that exports of our products may become subject to retaliatory tariffs and harm our ability to ability to obtain necessary product components or to sell our products at prices customers are willing to pay. Any of these factors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60" w:type="dxa"/>
            <w:vAlign w:val="bottom"/>
          </w:tcPr>
          <w:p>
            <w:pPr>
              <w:spacing w:after="0"/>
              <w:rPr>
                <w:sz w:val="24"/>
                <w:szCs w:val="24"/>
                <w:color w:val="auto"/>
              </w:rPr>
            </w:pPr>
          </w:p>
        </w:tc>
        <w:tc>
          <w:tcPr>
            <w:tcW w:w="9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4"/>
                <w:szCs w:val="14"/>
                <w:color w:val="auto"/>
              </w:rPr>
            </w:pPr>
          </w:p>
        </w:tc>
        <w:tc>
          <w:tcPr>
            <w:tcW w:w="9060" w:type="dxa"/>
            <w:vAlign w:val="bottom"/>
            <w:tcBorders>
              <w:top w:val="single" w:sz="8" w:color="auto"/>
            </w:tcBorders>
            <w:gridSpan w:val="7"/>
          </w:tcPr>
          <w:p>
            <w:pPr>
              <w:spacing w:after="0" w:line="169"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Second Amended and Restated Certificate of Incorporation of Tigo Energy, Inc. (incorporated by reference</w:t>
              </w:r>
            </w:hyperlink>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60" w:type="dxa"/>
            <w:vAlign w:val="bottom"/>
            <w:gridSpan w:val="7"/>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to Exhibit 3.1 to the Company’s Current Report on Form 8-K, filed with the SEC on May 30, 2023).</w:t>
              </w:r>
            </w:hyperlink>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7"/>
                <w:szCs w:val="17"/>
                <w:color w:val="auto"/>
              </w:rPr>
            </w:pPr>
          </w:p>
        </w:tc>
        <w:tc>
          <w:tcPr>
            <w:tcW w:w="9060" w:type="dxa"/>
            <w:vAlign w:val="bottom"/>
            <w:gridSpan w:val="7"/>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Amended and Restated Bylaws of Tigo Energy, Inc. (incorporated by reference to Exhibit 3.2 to the</w:t>
              </w:r>
            </w:hyperlink>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60" w:type="dxa"/>
            <w:vAlign w:val="bottom"/>
            <w:gridSpan w:val="7"/>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Company’s Current Report on Form 8-K, filed with the SEC on May 30, 2023).</w:t>
              </w:r>
            </w:hyperlink>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7"/>
                <w:szCs w:val="17"/>
                <w:color w:val="auto"/>
              </w:rPr>
            </w:pPr>
          </w:p>
        </w:tc>
        <w:tc>
          <w:tcPr>
            <w:tcW w:w="9060" w:type="dxa"/>
            <w:vAlign w:val="bottom"/>
            <w:gridSpan w:val="7"/>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Office Lease, dated May 27, 2025, between Tigo Energy Inc. and Boccardo Corporation (incorporated by reference to</w:t>
              </w:r>
            </w:hyperlink>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60" w:type="dxa"/>
            <w:vAlign w:val="bottom"/>
            <w:gridSpan w:val="7"/>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Exhibit 10.1 to the Company’s Current Report on Form 8-K, filed with the SEC on May 30, 2025).</w:t>
              </w:r>
            </w:hyperlink>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r>
      <w:tr>
        <w:trPr>
          <w:trHeight w:val="196"/>
        </w:trPr>
        <w:tc>
          <w:tcPr>
            <w:tcW w:w="1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7"/>
                <w:szCs w:val="17"/>
                <w:color w:val="auto"/>
              </w:rPr>
            </w:pPr>
          </w:p>
        </w:tc>
        <w:tc>
          <w:tcPr>
            <w:tcW w:w="90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13a-14(a)/15d-14(a)</w:t>
            </w:r>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r>
      <w:tr>
        <w:trPr>
          <w:trHeight w:val="196"/>
        </w:trPr>
        <w:tc>
          <w:tcPr>
            <w:tcW w:w="1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7"/>
                <w:szCs w:val="17"/>
                <w:color w:val="auto"/>
              </w:rPr>
            </w:pPr>
          </w:p>
        </w:tc>
        <w:tc>
          <w:tcPr>
            <w:tcW w:w="90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13a-14(a)/15d-14(a)</w:t>
            </w:r>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EE"/>
            </w:tcBorders>
            <w:shd w:val="clear" w:color="auto" w:fill="0000FF"/>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r>
      <w:tr>
        <w:trPr>
          <w:trHeight w:val="196"/>
        </w:trPr>
        <w:tc>
          <w:tcPr>
            <w:tcW w:w="1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7"/>
                <w:szCs w:val="17"/>
                <w:color w:val="auto"/>
              </w:rPr>
            </w:pPr>
          </w:p>
        </w:tc>
        <w:tc>
          <w:tcPr>
            <w:tcW w:w="90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13a-14(b)/15d-14(b)</w:t>
            </w:r>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left w:val="single" w:sz="8" w:color="0000FF"/>
            </w:tcBorders>
            <w:gridSpan w:val="6"/>
          </w:tcPr>
          <w:p>
            <w:pPr>
              <w:spacing w:after="0" w:line="20" w:lineRule="exact"/>
              <w:rPr>
                <w:sz w:val="1"/>
                <w:szCs w:val="1"/>
                <w:color w:val="auto"/>
              </w:rPr>
            </w:pPr>
          </w:p>
        </w:tc>
      </w:tr>
      <w:tr>
        <w:trPr>
          <w:trHeight w:val="196"/>
        </w:trPr>
        <w:tc>
          <w:tcPr>
            <w:tcW w:w="1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7"/>
                <w:szCs w:val="17"/>
                <w:color w:val="auto"/>
              </w:rPr>
            </w:pPr>
          </w:p>
        </w:tc>
        <w:tc>
          <w:tcPr>
            <w:tcW w:w="90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13a-14(b)/15d-14(b)</w:t>
            </w:r>
          </w:p>
        </w:tc>
      </w:tr>
      <w:tr>
        <w:trPr>
          <w:trHeight w:val="20"/>
        </w:trPr>
        <w:tc>
          <w:tcPr>
            <w:tcW w:w="19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5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r>
      <w:tr>
        <w:trPr>
          <w:trHeight w:val="21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60" w:type="dxa"/>
            <w:vAlign w:val="bottom"/>
          </w:tcPr>
          <w:p>
            <w:pPr>
              <w:spacing w:after="0"/>
              <w:rPr>
                <w:sz w:val="18"/>
                <w:szCs w:val="18"/>
                <w:color w:val="auto"/>
              </w:rPr>
            </w:pPr>
          </w:p>
        </w:tc>
        <w:tc>
          <w:tcPr>
            <w:tcW w:w="9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w:t>
            </w:r>
          </w:p>
        </w:tc>
      </w:tr>
      <w:tr>
        <w:trPr>
          <w:trHeight w:val="216"/>
        </w:trPr>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60" w:type="dxa"/>
            <w:vAlign w:val="bottom"/>
          </w:tcPr>
          <w:p>
            <w:pPr>
              <w:spacing w:after="0"/>
              <w:rPr>
                <w:sz w:val="18"/>
                <w:szCs w:val="18"/>
                <w:color w:val="auto"/>
              </w:rPr>
            </w:pPr>
          </w:p>
        </w:tc>
        <w:tc>
          <w:tcPr>
            <w:tcW w:w="9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90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2172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right="20" w:firstLine="8"/>
        <w:spacing w:after="0" w:line="260" w:lineRule="auto"/>
        <w:tabs>
          <w:tab w:leader="none" w:pos="1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 exhibits to this Exhibit have been omitted pursuant to Item 601(a)(5) of Regulation S-K. The Registrant agrees to furnish supplementally a copy of any omitted schedule or exhibit to the SEC upon request.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Tigo Energy, Inc.</w:t>
      </w:r>
    </w:p>
    <w:p>
      <w:pPr>
        <w:spacing w:after="0" w:line="225" w:lineRule="exact"/>
        <w:rPr>
          <w:sz w:val="20"/>
          <w:szCs w:val="20"/>
          <w:color w:val="auto"/>
        </w:rPr>
      </w:pPr>
    </w:p>
    <w:p>
      <w:pPr>
        <w:ind w:left="566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Bill Roeschlein</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Zvi Alon, certify that:</w:t>
      </w:r>
    </w:p>
    <w:p>
      <w:pPr>
        <w:spacing w:after="0" w:line="225"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Tigo Energy,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Zvi Alon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38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Bill Roeschlein, certify that:</w:t>
      </w:r>
    </w:p>
    <w:p>
      <w:pPr>
        <w:spacing w:after="0" w:line="225"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Tigo Energy,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Bill Roeschlein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Tigo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quarter ended June 30,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Zvi Alon,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720" w:hanging="353"/>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367"/>
        <w:spacing w:after="0" w:line="500" w:lineRule="auto"/>
        <w:tabs>
          <w:tab w:leader="none" w:pos="7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5, 2025</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Zvi 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Zvi Alon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Tigo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quarter ended June 30,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Bill Roeschlein,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720" w:hanging="353"/>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367"/>
        <w:spacing w:after="0" w:line="500" w:lineRule="auto"/>
        <w:tabs>
          <w:tab w:leader="none" w:pos="7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August 5, 2025</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Bill Roeschlein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6"/>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8"/>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0"/>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1"/>
    </w:lvl>
  </w:abstractNum>
  <w:abstractNum w:abstractNumId="20">
    <w:nsid w:val="189A769B"/>
    <w:multiLevelType w:val="hybridMultilevel"/>
    <w:lvl w:ilvl="0">
      <w:lvlJc w:val="left"/>
      <w:lvlText w:val="%1."/>
      <w:numFmt w:val="decimal"/>
      <w:start w:val="12"/>
    </w:lvl>
  </w:abstractNum>
  <w:abstractNum w:abstractNumId="21">
    <w:nsid w:val="54E49EB4"/>
    <w:multiLevelType w:val="hybridMultilevel"/>
    <w:lvl w:ilvl="0">
      <w:lvlJc w:val="left"/>
      <w:lvlText w:val="%1."/>
      <w:numFmt w:val="decimal"/>
      <w:start w:val="13"/>
    </w:lvl>
  </w:abstractNum>
  <w:abstractNum w:abstractNumId="22">
    <w:nsid w:val="71F32454"/>
    <w:multiLevelType w:val="hybridMultilevel"/>
    <w:lvl w:ilvl="0">
      <w:lvlJc w:val="left"/>
      <w:lvlText w:val="%1."/>
      <w:numFmt w:val="decimal"/>
      <w:start w:val="14"/>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Letter"/>
      <w:start w:val="2"/>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64" Type="http://schemas.openxmlformats.org/officeDocument/2006/relationships/hyperlink" Target="https://www.sec.gov/Archives/edgar/data/1855447/000121390023044099/ea179362ex3-1_tigoenergy.htm" TargetMode="External"/><Relationship Id="rId265" Type="http://schemas.openxmlformats.org/officeDocument/2006/relationships/hyperlink" Target="https://www.sec.gov/Archives/edgar/data/1855447/000121390023044099/ea179362ex3-2_tigoenergy.htm" TargetMode="External"/><Relationship Id="rId266" Type="http://schemas.openxmlformats.org/officeDocument/2006/relationships/hyperlink" Target="https://www.sec.gov/Archives/edgar/data/1855447/000121390025049161/ea024392701ex10-1_tigoenerg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2025-08-05T16:09:48Z</dcterms:created>
  <dcterms:modified xsi:type="dcterms:W3CDTF">2025-08-05T16:09:48Z</dcterms:modified>
</cp:coreProperties>
</file>