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739775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8" w:lineRule="exact"/>
        <w:rPr>
          <w:sz w:val="24"/>
          <w:szCs w:val="24"/>
          <w:color w:val="auto"/>
        </w:rPr>
      </w:pPr>
    </w:p>
    <w:p>
      <w:pPr>
        <w:ind w:left="3880" w:right="1620" w:hanging="3859"/>
        <w:spacing w:after="0" w:line="351" w:lineRule="auto"/>
        <w:tabs>
          <w:tab w:leader="none" w:pos="48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001-40710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Tigo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42"/>
        </w:trPr>
        <w:tc>
          <w:tcPr>
            <w:tcW w:w="5200" w:type="dxa"/>
            <w:vAlign w:val="bottom"/>
          </w:tcPr>
          <w:p>
            <w:pPr>
              <w:jc w:val="center"/>
              <w:ind w:right="160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660" w:type="dxa"/>
            <w:vAlign w:val="bottom"/>
          </w:tcPr>
          <w:p>
            <w:pPr>
              <w:jc w:val="center"/>
              <w:ind w:left="162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0"/>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660" w:type="dxa"/>
            <w:vAlign w:val="bottom"/>
          </w:tcPr>
          <w:p>
            <w:pPr>
              <w:jc w:val="center"/>
              <w:ind w:left="16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8"/>
                <w:szCs w:val="18"/>
                <w:b w:val="1"/>
                <w:bCs w:val="1"/>
                <w:color w:val="auto"/>
                <w:w w:val="99"/>
              </w:rPr>
              <w:t>655 Campbell Technology Parkway, Suite 150</w:t>
            </w:r>
          </w:p>
        </w:tc>
        <w:tc>
          <w:tcPr>
            <w:tcW w:w="2660" w:type="dxa"/>
            <w:vAlign w:val="bottom"/>
          </w:tcPr>
          <w:p>
            <w:pPr>
              <w:spacing w:after="0"/>
              <w:rPr>
                <w:sz w:val="18"/>
                <w:szCs w:val="18"/>
                <w:color w:val="auto"/>
              </w:rPr>
            </w:pPr>
          </w:p>
        </w:tc>
      </w:tr>
      <w:tr>
        <w:trPr>
          <w:trHeight w:val="238"/>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8"/>
                <w:szCs w:val="18"/>
                <w:b w:val="1"/>
                <w:bCs w:val="1"/>
                <w:color w:val="auto"/>
              </w:rPr>
              <w:t>Campbell, California</w:t>
            </w:r>
          </w:p>
        </w:tc>
        <w:tc>
          <w:tcPr>
            <w:tcW w:w="26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95008</w:t>
            </w:r>
          </w:p>
        </w:tc>
      </w:tr>
      <w:tr>
        <w:trPr>
          <w:trHeight w:val="173"/>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60" w:type="dxa"/>
            <w:vAlign w:val="bottom"/>
          </w:tcPr>
          <w:p>
            <w:pPr>
              <w:jc w:val="center"/>
              <w:ind w:left="16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402-0802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60" w:type="dxa"/>
            <w:vAlign w:val="bottom"/>
            <w:shd w:val="clear" w:color="auto" w:fill="CFF0FC"/>
          </w:tcPr>
          <w:p>
            <w:pPr>
              <w:spacing w:after="0"/>
              <w:rPr>
                <w:sz w:val="14"/>
                <w:szCs w:val="14"/>
                <w:color w:val="auto"/>
              </w:rPr>
            </w:pPr>
          </w:p>
        </w:tc>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TYGO</w:t>
            </w:r>
          </w:p>
        </w:tc>
        <w:tc>
          <w:tcPr>
            <w:tcW w:w="140" w:type="dxa"/>
            <w:vAlign w:val="bottom"/>
            <w:shd w:val="clear" w:color="auto" w:fill="CFF0FC"/>
          </w:tcPr>
          <w:p>
            <w:pPr>
              <w:spacing w:after="0"/>
              <w:rPr>
                <w:sz w:val="14"/>
                <w:szCs w:val="14"/>
                <w:color w:val="auto"/>
              </w:rPr>
            </w:pPr>
          </w:p>
        </w:tc>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54"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0"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8, 2024, the registrant had 60,361,628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 this Quarterly Report on Form 10-Q may include, for example, statements about:</w:t>
      </w:r>
    </w:p>
    <w:p>
      <w:pPr>
        <w:spacing w:after="0" w:line="117"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future liquidity requirements, which may require us to raise financing in the future;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the Company;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the listing of securities on Nasdaq;</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and sell its product offerings and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seasonal trends and the cyclical nature of the solar industry;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the Company's securities;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and protect intellectual property;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the Company’s dependence on a small number of outside contract manufacturers;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working with leading solar manufacturers;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respond to fluctuations in foreign currency exchange rates and political unrest and regulatory changes in international markets into which the Company expands or otherwise operate in;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enhance future operating and financial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monetize its inventory on-hand;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or recruit, or changes required in, its officers, key employees or directors;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and maintain effective internal controls;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Company’s business, operations and financial performance, including:</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comply with laws and regulations applicable to its business;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market conditions and global and economic factors beyond the Company’s control;</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compete in the highly competitive and evolving solar industry;</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continue to develop new products and innovations to meet constantly evolving customer demands;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enter into, successfully maintain and manage relationships with partners and distributors; and</w:t>
      </w:r>
    </w:p>
    <w:p>
      <w:pPr>
        <w:spacing w:after="0" w:line="116" w:lineRule="exact"/>
        <w:rPr>
          <w:rFonts w:ascii="Times New Roman" w:cs="Times New Roman" w:eastAsia="Times New Roman" w:hAnsi="Times New Roman"/>
          <w:sz w:val="18"/>
          <w:szCs w:val="18"/>
          <w:color w:val="auto"/>
        </w:rPr>
      </w:pPr>
    </w:p>
    <w:p>
      <w:pPr>
        <w:ind w:left="154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Company’s ability to acquire or make investments in other businesses, patents, technologies, products or services to grow the business, and realize the anticipated benefits therefrom.</w:t>
      </w:r>
    </w:p>
    <w:p>
      <w:pPr>
        <w:spacing w:after="0" w:line="1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Part I, Item 1A, “Risk Factors” in the Company’s Annual Report on Form 10-K filed with the Securities and Exchange Commission (the “SEC”) on March 21, 2024 (the “2023 Annual Report”), this Quarterly Report on Form 10-Q and the Company’s other filings with the SEC. It is not possible for the management of the Company to predict all risks, nor can the Company assess the impact of all factors on</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20" w:type="dxa"/>
            <w:vAlign w:val="bottom"/>
            <w:gridSpan w:val="8"/>
          </w:tcPr>
          <w:p>
            <w:pPr>
              <w:ind w:left="1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405"/>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20" w:type="dxa"/>
            <w:vAlign w:val="bottom"/>
            <w:gridSpan w:val="8"/>
          </w:tcPr>
          <w:p>
            <w:pPr>
              <w:ind w:left="8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60" w:type="dxa"/>
            <w:vAlign w:val="bottom"/>
          </w:tcPr>
          <w:p>
            <w:pPr>
              <w:spacing w:after="0"/>
              <w:rPr>
                <w:sz w:val="24"/>
                <w:szCs w:val="24"/>
                <w:color w:val="auto"/>
              </w:rPr>
            </w:pPr>
          </w:p>
        </w:tc>
      </w:tr>
      <w:tr>
        <w:trPr>
          <w:trHeight w:val="202"/>
        </w:trPr>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Income for the Three Months Ended March 31, 2024</w:t>
            </w:r>
          </w:p>
        </w:tc>
        <w:tc>
          <w:tcPr>
            <w:tcW w:w="660" w:type="dxa"/>
            <w:vAlign w:val="bottom"/>
          </w:tcPr>
          <w:p>
            <w:pPr>
              <w:spacing w:after="0"/>
              <w:rPr>
                <w:sz w:val="19"/>
                <w:szCs w:val="19"/>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5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and 2023</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Convertible Preferred Stock and Stockholders’ Equity (Deficit) for the Three Months Ended</w:t>
            </w:r>
          </w:p>
        </w:tc>
        <w:tc>
          <w:tcPr>
            <w:tcW w:w="6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5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March 31, 2024 and 2023</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104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120" w:type="dxa"/>
            <w:vAlign w:val="bottom"/>
            <w:gridSpan w:val="8"/>
          </w:tcPr>
          <w:p>
            <w:pPr>
              <w:ind w:left="9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60" w:type="dxa"/>
            <w:vAlign w:val="bottom"/>
          </w:tcPr>
          <w:p>
            <w:pPr>
              <w:spacing w:after="0"/>
              <w:rPr>
                <w:sz w:val="22"/>
                <w:szCs w:val="22"/>
                <w:color w:val="auto"/>
              </w:rPr>
            </w:pPr>
          </w:p>
        </w:tc>
      </w:tr>
      <w:tr>
        <w:trPr>
          <w:trHeight w:val="202"/>
        </w:trPr>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6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4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75"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TIGO ENERGY,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540" w:type="dxa"/>
            <w:vAlign w:val="bottom"/>
            <w:shd w:val="clear" w:color="auto" w:fill="CFF0FC"/>
          </w:tcPr>
          <w:p>
            <w:pPr>
              <w:ind w:left="5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Marketable securities, short-term</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26,806</w:t>
            </w:r>
          </w:p>
        </w:tc>
        <w:tc>
          <w:tcPr>
            <w:tcW w:w="100" w:type="dxa"/>
            <w:vAlign w:val="bottom"/>
          </w:tcPr>
          <w:p>
            <w:pPr>
              <w:spacing w:after="0"/>
              <w:rPr>
                <w:sz w:val="19"/>
                <w:szCs w:val="19"/>
                <w:color w:val="auto"/>
              </w:rPr>
            </w:pPr>
          </w:p>
        </w:tc>
      </w:tr>
      <w:tr>
        <w:trPr>
          <w:trHeight w:val="211"/>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 net of allowances for credit losses of $3,159 and $4,011 at March 31, 2024 and December</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31, 2023, respectively</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net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61,401</w:t>
            </w:r>
          </w:p>
        </w:tc>
        <w:tc>
          <w:tcPr>
            <w:tcW w:w="100" w:type="dxa"/>
            <w:vAlign w:val="bottom"/>
          </w:tcPr>
          <w:p>
            <w:pPr>
              <w:spacing w:after="0"/>
              <w:rPr>
                <w:sz w:val="19"/>
                <w:szCs w:val="19"/>
                <w:color w:val="auto"/>
              </w:rPr>
            </w:pPr>
          </w:p>
        </w:tc>
      </w:tr>
      <w:tr>
        <w:trPr>
          <w:trHeight w:val="232"/>
        </w:trPr>
        <w:tc>
          <w:tcPr>
            <w:tcW w:w="7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104,710</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Marketable securities, long-term</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FF0FC"/>
          </w:tcPr>
          <w:p>
            <w:pPr>
              <w:spacing w:after="0"/>
              <w:rPr>
                <w:sz w:val="20"/>
                <w:szCs w:val="20"/>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100" w:type="dxa"/>
            <w:vAlign w:val="bottom"/>
          </w:tcPr>
          <w:p>
            <w:pPr>
              <w:spacing w:after="0"/>
              <w:rPr>
                <w:sz w:val="19"/>
                <w:szCs w:val="19"/>
                <w:color w:val="auto"/>
              </w:rPr>
            </w:pPr>
          </w:p>
        </w:tc>
      </w:tr>
      <w:tr>
        <w:trPr>
          <w:trHeight w:val="263"/>
        </w:trPr>
        <w:tc>
          <w:tcPr>
            <w:tcW w:w="7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109,121</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127,777</w:t>
            </w:r>
          </w:p>
        </w:tc>
        <w:tc>
          <w:tcPr>
            <w:tcW w:w="100" w:type="dxa"/>
            <w:vAlign w:val="bottom"/>
            <w:shd w:val="clear" w:color="auto" w:fill="CFF0FC"/>
          </w:tcPr>
          <w:p>
            <w:pPr>
              <w:spacing w:after="0"/>
              <w:rPr>
                <w:sz w:val="22"/>
                <w:szCs w:val="22"/>
                <w:color w:val="auto"/>
              </w:rPr>
            </w:pPr>
          </w:p>
        </w:tc>
      </w:tr>
      <w:tr>
        <w:trPr>
          <w:trHeight w:val="208"/>
        </w:trPr>
        <w:tc>
          <w:tcPr>
            <w:tcW w:w="7540" w:type="dxa"/>
            <w:vAlign w:val="bottom"/>
            <w:tcBorders>
              <w:top w:val="single" w:sz="8" w:color="CFF0FC"/>
            </w:tcBorders>
          </w:tcPr>
          <w:p>
            <w:pPr>
              <w:ind w:left="38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2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15,685</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Warranty liability, current portion</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FF0FC"/>
          </w:tcPr>
          <w:p>
            <w:pPr>
              <w:spacing w:after="0"/>
              <w:rPr>
                <w:sz w:val="20"/>
                <w:szCs w:val="20"/>
                <w:color w:val="auto"/>
              </w:rPr>
            </w:pPr>
          </w:p>
        </w:tc>
      </w:tr>
      <w:tr>
        <w:trPr>
          <w:trHeight w:val="223"/>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26,419</w:t>
            </w: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 liability, net of current portion</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unamortized debt discount and issuance costs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31,570</w:t>
            </w:r>
          </w:p>
        </w:tc>
        <w:tc>
          <w:tcPr>
            <w:tcW w:w="100" w:type="dxa"/>
            <w:vAlign w:val="bottom"/>
          </w:tcPr>
          <w:p>
            <w:pPr>
              <w:spacing w:after="0"/>
              <w:rPr>
                <w:sz w:val="19"/>
                <w:szCs w:val="19"/>
                <w:color w:val="auto"/>
              </w:rPr>
            </w:pPr>
          </w:p>
        </w:tc>
      </w:tr>
      <w:tr>
        <w:trPr>
          <w:trHeight w:val="23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64,953</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Common stock, $0.0001 par value: 150,000,000 authorized; 60,358,166 and 58,751,666 shares issued and</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outstanding at March 31, 2024 and December 31, 2023, respectively</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138,657</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(87,286 )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(75,780 )</w:t>
            </w:r>
          </w:p>
        </w:tc>
      </w:tr>
      <w:tr>
        <w:trPr>
          <w:trHeight w:val="223"/>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r>
      <w:tr>
        <w:trPr>
          <w:trHeight w:val="223"/>
        </w:trPr>
        <w:tc>
          <w:tcPr>
            <w:tcW w:w="7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54,324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109,121</w:t>
            </w:r>
          </w:p>
        </w:tc>
        <w:tc>
          <w:tcPr>
            <w:tcW w:w="2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-4460240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-4460240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-3278505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-3261360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-3261360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-1497965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100" w:type="dxa"/>
            <w:vAlign w:val="bottom"/>
          </w:tcPr>
          <w:p>
            <w:pPr>
              <w:spacing w:after="0"/>
              <w:rPr>
                <w:sz w:val="20"/>
                <w:szCs w:val="20"/>
                <w:color w:val="auto"/>
              </w:rPr>
            </w:pPr>
          </w:p>
        </w:tc>
      </w:tr>
      <w:tr>
        <w:trPr>
          <w:trHeight w:val="240"/>
        </w:trPr>
        <w:tc>
          <w:tcPr>
            <w:tcW w:w="7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00" w:type="dxa"/>
            <w:vAlign w:val="bottom"/>
          </w:tcPr>
          <w:p>
            <w:pPr>
              <w:spacing w:after="0"/>
              <w:rPr>
                <w:sz w:val="20"/>
                <w:szCs w:val="20"/>
                <w:color w:val="auto"/>
              </w:rPr>
            </w:pPr>
          </w:p>
        </w:tc>
      </w:tr>
      <w:tr>
        <w:trPr>
          <w:trHeight w:val="240"/>
        </w:trPr>
        <w:tc>
          <w:tcPr>
            <w:tcW w:w="7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(9,088 )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fair value of preferred stock warrant and contingent shares liability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(551 )</w:t>
            </w:r>
          </w:p>
        </w:tc>
      </w:tr>
      <w:tr>
        <w:trPr>
          <w:trHeight w:val="236"/>
        </w:trPr>
        <w:tc>
          <w:tcPr>
            <w:tcW w:w="774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(11,506 )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20"/>
                <w:szCs w:val="20"/>
                <w:color w:val="auto"/>
              </w:rPr>
            </w:pPr>
          </w:p>
        </w:tc>
      </w:tr>
      <w:tr>
        <w:trPr>
          <w:trHeight w:val="240"/>
        </w:trPr>
        <w:tc>
          <w:tcPr>
            <w:tcW w:w="7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resulting from change in fair value of marketable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7"/>
        </w:trPr>
        <w:tc>
          <w:tcPr>
            <w:tcW w:w="75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7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Cumulative dividends on convertible preferred stock</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(2,152 )</w:t>
            </w: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per common share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59,374,019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6,481,862</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59,374,019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11,005,136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-3826510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-3826510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-2567940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-1934210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-1266825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left="151"/>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left="11"/>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1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4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left="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2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58,751,666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138,657</w:t>
            </w:r>
          </w:p>
        </w:tc>
        <w:tc>
          <w:tcPr>
            <w:tcW w:w="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(75,780 )</w:t>
            </w:r>
          </w:p>
        </w:tc>
        <w:tc>
          <w:tcPr>
            <w:tcW w:w="34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the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166,271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of fSight (see Note 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40" w:type="dxa"/>
            <w:vAlign w:val="bottom"/>
            <w:gridSpan w:val="6"/>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685,213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tcBorders>
              <w:left w:val="single" w:sz="8" w:color="CFF0FC"/>
            </w:tcBorders>
            <w:gridSpan w:val="2"/>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stock awards</w:t>
            </w: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60" w:type="dxa"/>
            <w:vAlign w:val="bottom"/>
            <w:tcBorders>
              <w:right w:val="single" w:sz="8" w:color="CFF0FC"/>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20" w:type="dxa"/>
            <w:vAlign w:val="bottom"/>
            <w:tcBorders>
              <w:left w:val="single" w:sz="8" w:color="CFF0FC"/>
            </w:tcBorders>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tcBorders>
              <w:right w:val="single" w:sz="8" w:color="CFF0FC"/>
            </w:tcBorders>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40" w:type="dxa"/>
            <w:vAlign w:val="bottom"/>
            <w:gridSpan w:val="6"/>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gain resulting from change in fair value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(11,506 )</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(11,506 )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60,358,166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141,651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(87,286 )</w:t>
            </w:r>
          </w:p>
        </w:tc>
        <w:tc>
          <w:tcPr>
            <w:tcW w:w="34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9"/>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Stockholders’ deficit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9"/>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9"/>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4"/>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33"/>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20" w:type="dxa"/>
            <w:vAlign w:val="bottom"/>
          </w:tcPr>
          <w:p>
            <w:pPr>
              <w:spacing w:after="0"/>
              <w:rPr>
                <w:sz w:val="11"/>
                <w:szCs w:val="11"/>
                <w:color w:val="auto"/>
              </w:rPr>
            </w:pPr>
          </w:p>
        </w:tc>
        <w:tc>
          <w:tcPr>
            <w:tcW w:w="1000" w:type="dxa"/>
            <w:vAlign w:val="bottom"/>
            <w:gridSpan w:val="6"/>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comprehensiv</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3"/>
                <w:szCs w:val="13"/>
                <w:b w:val="1"/>
                <w:bCs w:val="1"/>
                <w:color w:val="auto"/>
                <w:w w:val="98"/>
              </w:rPr>
              <w:t>e income</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199,145,285</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1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23,442,353</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left w:val="single" w:sz="8" w:color="CFF0FC"/>
            </w:tcBorders>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(62,215 )</w:t>
            </w:r>
          </w:p>
        </w:tc>
        <w:tc>
          <w:tcPr>
            <w:tcW w:w="620" w:type="dxa"/>
            <w:vAlign w:val="bottom"/>
            <w:tcBorders>
              <w:right w:val="single" w:sz="8" w:color="CFF0FC"/>
            </w:tcBorders>
            <w:shd w:val="clear" w:color="auto" w:fill="CFF0FC"/>
          </w:tcPr>
          <w:p>
            <w:pPr>
              <w:jc w:val="center"/>
              <w:ind w:right="47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(55,692 )</w:t>
            </w: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Retroactive application (Note 3)</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(152,677,720 )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(17,972,432 )</w:t>
            </w:r>
          </w:p>
        </w:tc>
        <w:tc>
          <w:tcPr>
            <w:tcW w:w="120" w:type="dxa"/>
            <w:vAlign w:val="bottom"/>
          </w:tcPr>
          <w:p>
            <w:pPr>
              <w:spacing w:after="0"/>
              <w:rPr>
                <w:sz w:val="15"/>
                <w:szCs w:val="15"/>
                <w:color w:val="auto"/>
              </w:rPr>
            </w:pPr>
          </w:p>
        </w:tc>
        <w:tc>
          <w:tcPr>
            <w:tcW w:w="9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(1 )</w:t>
            </w: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 as converted</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46,467,565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5,469,921</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(62,215 )</w:t>
            </w:r>
          </w:p>
        </w:tc>
        <w:tc>
          <w:tcPr>
            <w:tcW w:w="6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(55,692 )</w:t>
            </w:r>
          </w:p>
        </w:tc>
        <w:tc>
          <w:tcPr>
            <w:tcW w:w="0" w:type="dxa"/>
            <w:vAlign w:val="bottom"/>
          </w:tcPr>
          <w:p>
            <w:pPr>
              <w:spacing w:after="0"/>
              <w:rPr>
                <w:sz w:val="1"/>
                <w:szCs w:val="1"/>
                <w:color w:val="auto"/>
              </w:rPr>
            </w:pPr>
          </w:p>
        </w:tc>
      </w:tr>
      <w:tr>
        <w:trPr>
          <w:trHeight w:val="139"/>
        </w:trPr>
        <w:tc>
          <w:tcPr>
            <w:tcW w:w="2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140,545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1,306,385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acquisition of fSight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4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gain resulting from change in fair</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FF0FC"/>
            </w:tcBorders>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14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value of marketable securities</w:t>
            </w: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3"/>
            <w:vMerge w:val="continue"/>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60" w:type="dxa"/>
            <w:vAlign w:val="bottom"/>
            <w:tcBorders>
              <w:right w:val="single" w:sz="8" w:color="CFF0FC"/>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gridSpan w:val="2"/>
            <w:vMerge w:val="continue"/>
            <w:shd w:val="clear" w:color="auto" w:fill="CFF0FC"/>
          </w:tcPr>
          <w:p>
            <w:pPr>
              <w:spacing w:after="0"/>
              <w:rPr>
                <w:sz w:val="16"/>
                <w:szCs w:val="16"/>
                <w:color w:val="auto"/>
              </w:rPr>
            </w:pPr>
          </w:p>
        </w:tc>
        <w:tc>
          <w:tcPr>
            <w:tcW w:w="620" w:type="dxa"/>
            <w:vAlign w:val="bottom"/>
            <w:tcBorders>
              <w:right w:val="single" w:sz="8" w:color="CFF0FC"/>
            </w:tcBorders>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5"/>
              </w:rPr>
              <w:t>6,910</w:t>
            </w: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 as converted</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46,467,565</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12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6,916,851</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17,057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(55,305 )</w:t>
            </w:r>
          </w:p>
        </w:tc>
        <w:tc>
          <w:tcPr>
            <w:tcW w:w="620" w:type="dxa"/>
            <w:vAlign w:val="bottom"/>
            <w:tcBorders>
              <w:right w:val="single" w:sz="8" w:color="CFF0FC"/>
            </w:tcBorders>
            <w:shd w:val="clear" w:color="auto" w:fill="CFF0FC"/>
          </w:tcPr>
          <w:p>
            <w:pPr>
              <w:jc w:val="center"/>
              <w:ind w:right="47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14</w:t>
            </w:r>
          </w:p>
        </w:tc>
        <w:tc>
          <w:tcPr>
            <w:tcW w:w="1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(38,233 )</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-2285365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-2285365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-2285365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-2285365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-2285365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-24765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-7620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right="20" w:hanging="512"/>
        <w:spacing w:after="0" w:line="258"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and redeemable convertible preferred stock prior to the Business Combination (as defined in Note 1) have been retroactively restated to reflect the exchange ratio of approximately 0.233335 established in the Business Combination as described in Note 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(11,506 )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 for inventory obsolescence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preferred stock warrant and contingent shares liability</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(990 )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Accretion of interest on marketable securities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(16,535 )</w:t>
            </w:r>
          </w:p>
        </w:tc>
      </w:tr>
      <w:tr>
        <w:trPr>
          <w:trHeight w:val="247"/>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(11,780 )</w:t>
            </w: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(1,175 )</w:t>
            </w:r>
          </w:p>
        </w:tc>
      </w:tr>
      <w:tr>
        <w:trPr>
          <w:trHeight w:val="247"/>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(9,448 )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(2,207 )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Warranty liability</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(273 )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(11,266 )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(5,087 )</w:t>
            </w: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(10,068 )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fSight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7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(10,655 )</w:t>
            </w:r>
          </w:p>
        </w:tc>
      </w:tr>
      <w:tr>
        <w:trPr>
          <w:trHeight w:val="238"/>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Convertible Promissory Note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from Series 2022-1 Notes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(20,833 )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deferred issuance costs related to future equity issuance</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r>
      <w:tr>
        <w:trPr>
          <w:trHeight w:val="24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00" w:type="dxa"/>
            <w:vAlign w:val="bottom"/>
          </w:tcPr>
          <w:p>
            <w:pPr>
              <w:spacing w:after="0"/>
              <w:rPr>
                <w:sz w:val="20"/>
                <w:szCs w:val="20"/>
                <w:color w:val="auto"/>
              </w:rPr>
            </w:pP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-2859405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-1600835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-667385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1"/>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issuance costs related to future equity issuance in accrued expenses and accounts payable</w:t>
            </w: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costs in accounts payable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 obtained in exchange for operating lease liabilities</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consideration paid for the acquisition of fSight</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Contingent shares liability from fSight acquisition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resulting from change in fair value of marketable securities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-1437640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-1420495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-1103630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-1086485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-744220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-727075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-384810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-367665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9" w:name="page10"/>
    <w:bookmarkEnd w:id="9"/>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11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11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Tigo Energy, Inc. (f/k/a Roth CH Acquisition IV Co.) and subsidiaries (together, the “Company”) consists of Tigo Energy, Inc. (“Tigo”), its wholly-owned direct subsidiary: Tigo Energy MergeCo, Inc. (f/k/a Tigo Energy, Inc.) (“Legacy Tigo”), and its wholly-owned indirect subsidiaries: Tigo Energy Israel Ltd., Foresight Energy, Ltd. (“fSight”), Tigo Energy Italy SRL, Tigo Energy Systems Trading (Suzhou) and Tigo Energy Australia Pty Ltd. Prior to the consummation of the Business Combination (as defined below), the operations of the Company were conducted through Legacy Tigo. Legacy Tigo was incorporated in Delaware in 2007 and commenced operations in 2010.</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The Company is headquartered in Campbell, California with offices in Europe, Asia and the Middle East.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refer to Note 3 “Merger with Roth CH Acquisition IV Co.” for additional details regarding the Business Combination.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w:t>
      </w:r>
    </w:p>
    <w:p>
      <w:pPr>
        <w:spacing w:after="0" w:line="1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Closing Date, have been retroactively recasted as shares reflecting the exchange ratio established in the Business Combination. Please refer to Note 3 “Merger with Roth CH Acquisition IV Co.” for additional details regarding the Business Combination.</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and were not material for the three months ended March 31, 2024 and 2023.</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March 31, 2024 and its condensed consolidated statements of operations and comprehensive (loss) income, cash flows, and convertible preferred stock and changes stockholders’ equity (deficit) for the three months ended March 31, 2024 and 2023. Operating results for the three months ended March 31, 2024, are not necessarily indicative of the results that may be expected for the full year ending December 31, 2024.</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herein, do not contain all of the required disclosures under GAAP for annual consolidated financial statements. The condensed consolidated balance sheet as of December 31, 2023, has been derived from the audited consolidated balance sheet as of that date. The accompanying unaudited condensed consolidated financial statements should be read in conjunction with the annual audited consolidated financial statements and related notes thereto for the year ended December 31, 2023.</w:t>
      </w:r>
    </w:p>
    <w:p>
      <w:pPr>
        <w:spacing w:after="0" w:line="28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its audited consolidated financial statements for the year ended December 31, 2023, which are included in the Company’s Annual Report on Form 10-K filed with the SEC on March 21,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information and various other assumptions that are believed to be reasonable under the circumstances. Examples of such estimates include, among other things, the valuation of share-based awards, the recoverability of long-lived assets, the assessment of intangible assets and goodwill for impairment, provisions for warranty and expected credit losses, inventory obsolescence, sales returns, future price concessions, valuation allowances and the estimated useful lives of plant and equipment and acquired intangible assets. Actual results may materially differ from these estimates. On an ongoing basis, the Company reviews its estimates to ensure that these estimates appropriately reflect changes in its business or new information as it becomes available.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In November 2023, the FASB issued </w:t>
      </w:r>
      <w:r>
        <w:rPr>
          <w:rFonts w:ascii="Times New Roman" w:cs="Times New Roman" w:eastAsia="Times New Roman" w:hAnsi="Times New Roman"/>
          <w:sz w:val="18"/>
          <w:szCs w:val="18"/>
          <w:i w:val="1"/>
          <w:iCs w:val="1"/>
          <w:color w:val="231F20"/>
        </w:rPr>
        <w:t>ASU No. 2023-07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Improvements to Reportable Segment Disclosures (Topic 280)</w:t>
      </w:r>
      <w:r>
        <w:rPr>
          <w:rFonts w:ascii="Times New Roman" w:cs="Times New Roman" w:eastAsia="Times New Roman" w:hAnsi="Times New Roman"/>
          <w:sz w:val="18"/>
          <w:szCs w:val="18"/>
          <w:color w:val="231F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We are currently evaluating the provisions of this ASU and expect to adopt them for the year ending December 31, 2024.</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In December 2023, the FASB issued </w:t>
      </w:r>
      <w:r>
        <w:rPr>
          <w:rFonts w:ascii="Times New Roman" w:cs="Times New Roman" w:eastAsia="Times New Roman" w:hAnsi="Times New Roman"/>
          <w:sz w:val="18"/>
          <w:szCs w:val="18"/>
          <w:i w:val="1"/>
          <w:iCs w:val="1"/>
          <w:color w:val="231F20"/>
        </w:rPr>
        <w:t>ASU No. 2023-09, Improvements to Income Tax Disclosures (Topic 740)</w:t>
      </w:r>
      <w:r>
        <w:rPr>
          <w:rFonts w:ascii="Times New Roman" w:cs="Times New Roman" w:eastAsia="Times New Roman" w:hAnsi="Times New Roman"/>
          <w:sz w:val="18"/>
          <w:szCs w:val="18"/>
          <w:color w:val="231F20"/>
        </w:rPr>
        <w:t>.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We are currently evaluating the provisions of this ASU and expect to adopt them for the year ending December 31, 2024.</w:t>
      </w:r>
    </w:p>
    <w:p>
      <w:pPr>
        <w:spacing w:after="0" w:line="1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March 2024, the SEC adopted final rules that would require registrants to provide certain climate-related information in their registration statements and annual reports. The new rules require information about a registrant's climate-related risks that are reasonably likely to have a material impact on its business, results of operations, or financial condition. The rules also require disclosure of certain climate-related financial metrics in registrant’s audited financial statements, and, for certain registrants, disclosure regarding such registrant’s greenhouse gas emissions. In April 2024, the SEC voluntarily stayed the rules pending completion of a judicial review that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is currently pending in the U.S. Court of Appeals for the Eighth Circuit. The Company is currently evaluating the impact of these rules on the Company’s financial statements and related disclosures.</w:t>
      </w:r>
    </w:p>
    <w:p>
      <w:pPr>
        <w:spacing w:after="0" w:line="26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with Roth CH Acquisition IV Co.</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 (the “Exchange Ratio”) to affect the reverse recapitalization.</w:t>
      </w:r>
    </w:p>
    <w:p>
      <w:pPr>
        <w:spacing w:after="0" w:line="19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part of the reverse recapitalization, Legacy Tigo acquired $2.2 million of cash, $0.6 million of prepaid expenses and insurance and assumed $3,400 of accrued expenses and $61,000 of income tax payable. The Company incurred $6.1 million in transaction costs relating to the Business Combination, which were charged directly to additional paid-in capital to the extent of cash received. Transaction costs in excess of cash acquired of $3.9 million were charged to general and administrative expenses.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Immediately prior to the closing of the Business Combination:</w:t>
      </w:r>
    </w:p>
    <w:p>
      <w:pPr>
        <w:spacing w:after="0" w:line="117" w:lineRule="exact"/>
        <w:rPr>
          <w:sz w:val="20"/>
          <w:szCs w:val="20"/>
          <w:color w:val="auto"/>
        </w:rPr>
      </w:pPr>
    </w:p>
    <w:p>
      <w:pPr>
        <w:jc w:val="both"/>
        <w:ind w:left="102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 basis and additional shares of Legacy Tigo common stock were issued to settle the accumulated dividend to the Series E and Series D convertible preferred stockholders of $12.6 million;</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warrants net of exercise were converted into an equivalent number of shares of Legacy Tigo common stock on a one-to-one basis;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preferred warrants net of exercise were converted into an equivalent number of shares of Legacy Tigo preferred stock on a one-to-one basis, and subsequently converted into an equivalent number of shares of Legacy Tigo common stock on a one-to-one basis.</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At the effective time of the Business Combination, each share of Legacy Tigo common stock issued and outstanding immediately prior to the closing (including the shares of Legacy Tigo common stock issued in connection with the foregoing) were canceled and converted into the right to receive a pro rata portion of the merger consideration based on the Exchange Ratio.</w:t>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connection with the Business Combination, the Company issued 1,700,498 shares of Common Stock to former stockholders of ROCG and 118,021 shares of Common Stock to Roth Capital Partners, LLC.</w:t>
      </w:r>
    </w:p>
    <w:p>
      <w:pPr>
        <w:spacing w:after="0" w:line="163"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Immediately following the Business Combination, there were 58,144,543 shares of Common Stock issued and outstanding, options to purchase an aggregate of 4,358,301 shares of Common Stock and 5,768,750 warrants outstanding to purchase shares of Common Stock.</w:t>
      </w:r>
    </w:p>
    <w:p>
      <w:pPr>
        <w:spacing w:after="0" w:line="26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Foresight Energy, Ltd.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25, 2023 (“Acquisition Closing Date”), Legacy Tigo acquired 100% of the equity interests of fSight. The results of fSight’s operations have been included in the condensed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Under the terms of the purchase agreement, total consideration amounted to $13.2 million which consisted of 5,598,751 shares of Legacy Tigo’s common stock (which represents 1,306,385 shares of Common Stock on an as-converted basis as a result of the Business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Combination) issued at closing with a fair value of approximately $11.0 million, 737,233 shares of Legacy Tigo’s common stock (which represents 172,022 shares of Common Stock on an as-converted basis as a result of the Business Combination) with a fair value of approximately $1.4 million to be issued 12 months from closing and 368,617 shares of Legacy Tigo’s common stock (which represents 86,011 shares of Common Stock on an as-converted basis as a result of the Business Combination) with a fair value of approximately $0.7 million to be issued 18 months from closing (collectively with the shares to be issued at 12 months “Contingent Shares”). In addition to the consideration in the purchase agreement, there is an additional $0.5 million in consideration related to a loan that the Company issued to fSight prior to the Acquisition Closing Date, for a total consideration transferred of $13.7 million. The loan payable was deemed settled immediately following the Acquisition Closing Date.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purchase agreement, the Contingent Shares are subject to adjustment based on certain indemnification obligations, liabilities or settlements that may arise during the contingency period, which ends 18 months following the Acquisition Closing Date. During the year ended December 31, 2023, there was an adjustment recorded against the Contingent Shares related to an unrecorded liability that was not present as of the opening balance sheet date of January 25, 2023, and the number of Contingent Shares was adjusted downward by 5,745 shares to reflect this change. As of December 31, 2023, there was a total of up to 252,288 Contingent Shares that may be issued pursuant to the terms of the purchase agreement.</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Contingent Shares were recorded as a liability at a fair value of approximately $2.1 million on the Acquisition Closing Date based on the fair value of Legacy Tigo’s common stock at the Acquisition Closing Date. The contingent shares liability is recorded in accrued expenses and other current liabilities within the condensed consolidated balance sheet.</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25, 2024, consistent with the terms of the purchase agreement, the Company issued the 12-month tranche of Contingent Shares, 166,271 shares of its Common Stock, to certain former equity holders of fSight. At January 25, 2024, the liability was revalued to $0.4 million based upon the Company’s Common Stock fair value per share at that date. A mark-to-market gain of $0.2 million was recorded upon the remeasurement at January 25, 2024. Upon issuance of the 12-month tranche of Contingent Shares on January 25, 2024, the Company reduced the liability by the fair value associated with the 12-month tranche of Contingent Shares by $0.2 million and subsequently recorded an increase to additional paid-in capital on the Company’s condensed consolidated balance sheet. As of March 31, 2024, there was a total of up to 86,017 Contingent Shares that may be issued pursuant to the terms of the purchase agreement.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March 31, 2024, the remaining liability was revalued to $0.1 million based upon the Company’s Common Stock fair value per share on March 28, 2024, the last trading day of the reporting period. For the three months ended March 31, 2024 and 2023, the Company recognized a $0.2 million mark-to-market gain and $0.2 million mark-to-market expense, respectively. Mark-to-market expense and gains are recorded in the change in fair value of preferred stock warrant and contingent share liability financial statement line item within the condensed consolidated statement of operations and comprehensive (loss) income for the three months ended March 31, 2024 and 2023.</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was accounted for as a business combination pursuant to </w:t>
      </w:r>
      <w:r>
        <w:rPr>
          <w:rFonts w:ascii="Times New Roman" w:cs="Times New Roman" w:eastAsia="Times New Roman" w:hAnsi="Times New Roman"/>
          <w:sz w:val="18"/>
          <w:szCs w:val="18"/>
          <w:i w:val="1"/>
          <w:iCs w:val="1"/>
          <w:color w:val="auto"/>
        </w:rPr>
        <w:t>ASC Topic 805, Business Combinations</w:t>
      </w:r>
      <w:r>
        <w:rPr>
          <w:rFonts w:ascii="Times New Roman" w:cs="Times New Roman" w:eastAsia="Times New Roman" w:hAnsi="Times New Roman"/>
          <w:sz w:val="18"/>
          <w:szCs w:val="18"/>
          <w:color w:val="auto"/>
        </w:rPr>
        <w:t>, using the acquisition method of accounting and in conjunction with the acquisition, Legacy Tigo recognized $0.1 million of acquisition-related costs during the three months ended March 31, 2023. The Company did not incur any expense associated with acquisition-related costs during the three months ended March 31, 2024. The acquisition-related costs, which were expensed as incurred, are recorded in general and administrative expenses on the condensed consolidated statement of operations and comprehensive (loss) income.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assets acquired and liabilities assumed were recorded at fair value as follows (in thousands):</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common stock issued</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shares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Deemed settlement of loan payable</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consideration</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tcPr>
          <w:p>
            <w:pPr>
              <w:spacing w:after="0"/>
              <w:rPr>
                <w:sz w:val="20"/>
                <w:szCs w:val="20"/>
                <w:color w:val="auto"/>
              </w:rPr>
            </w:pPr>
          </w:p>
        </w:tc>
      </w:tr>
      <w:tr>
        <w:trPr>
          <w:trHeight w:val="240"/>
        </w:trPr>
        <w:tc>
          <w:tcPr>
            <w:tcW w:w="9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shd w:val="clear" w:color="auto" w:fill="CFF0FC"/>
          </w:tcPr>
          <w:p>
            <w:pPr>
              <w:spacing w:after="0"/>
              <w:rPr>
                <w:sz w:val="20"/>
                <w:szCs w:val="20"/>
                <w:color w:val="auto"/>
              </w:rPr>
            </w:pP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121"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following table presents supplemental pro-forma information for the three months ended March 31, 2023 as if the merger with fSight had occurred on January 1, 2022. These amounts have been calculated after applying the Company's accounting policies and are based upon currently available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50,126</w:t>
            </w:r>
          </w:p>
        </w:tc>
        <w:tc>
          <w:tcPr>
            <w:tcW w:w="100" w:type="dxa"/>
            <w:vAlign w:val="bottom"/>
            <w:shd w:val="clear" w:color="auto" w:fill="CFF0FC"/>
          </w:tcPr>
          <w:p>
            <w:pPr>
              <w:spacing w:after="0"/>
              <w:rPr>
                <w:sz w:val="20"/>
                <w:szCs w:val="20"/>
                <w:color w:val="auto"/>
              </w:rPr>
            </w:pPr>
          </w:p>
        </w:tc>
      </w:tr>
      <w:tr>
        <w:trPr>
          <w:trHeight w:val="234"/>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of Operating Results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2024, the Company’s condensed consolidated statement of operations and comprehensive (loss) income included net revenue of $0.2 million and a net loss of $0.5 million attributable to fSight. For the three months ended March 31, 2023, the Company’s condensed consolidated statement of operations and comprehensive (loss) income included net revenue of $0.1 million and a net loss of $0.3 million attributable to fSight.</w:t>
      </w:r>
    </w:p>
    <w:p>
      <w:pPr>
        <w:spacing w:after="0" w:line="28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Earnings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(loss) earnings per share of common stock is computed by dividing net (loss) income attributable to common stockholders by the weighted-average number of shares of common stock outstanding during each period, without consideration for potential dilutive shares of common stock.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which include convertible preferred stock.</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two-class method, net earnings for the three months ended March 31, 2023 are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are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ectPr>
          <w:pgSz w:w="11900" w:h="16838" w:orient="portrait"/>
          <w:cols w:equalWidth="0" w:num="1">
            <w:col w:w="11240"/>
          </w:cols>
          <w:pgMar w:left="320" w:top="764" w:right="339" w:bottom="1440"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earnings per share to common stockholders: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earnings per common share calculation:</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Pr>
          <w:p>
            <w:pPr>
              <w:spacing w:after="0"/>
              <w:rPr>
                <w:sz w:val="20"/>
                <w:szCs w:val="20"/>
                <w:color w:val="auto"/>
              </w:rPr>
            </w:pPr>
          </w:p>
        </w:tc>
      </w:tr>
      <w:tr>
        <w:trPr>
          <w:trHeight w:val="243"/>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Undistributed earnings to preferred stock stockholders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(4,176 )</w:t>
            </w:r>
          </w:p>
        </w:tc>
      </w:tr>
      <w:tr>
        <w:trPr>
          <w:trHeight w:val="20"/>
        </w:trPr>
        <w:tc>
          <w:tcPr>
            <w:tcW w:w="72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59,374,019</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6,481,862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earnings per share of common stock –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 earnings per common share calculation:</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(11,506 )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20"/>
                <w:szCs w:val="20"/>
                <w:color w:val="auto"/>
              </w:rPr>
            </w:pPr>
          </w:p>
        </w:tc>
      </w:tr>
      <w:tr>
        <w:trPr>
          <w:trHeight w:val="20"/>
        </w:trPr>
        <w:tc>
          <w:tcPr>
            <w:tcW w:w="72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r>
      <w:tr>
        <w:trPr>
          <w:trHeight w:val="240"/>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3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59,374,019</w:t>
            </w: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6,481,862</w:t>
            </w:r>
          </w:p>
        </w:tc>
        <w:tc>
          <w:tcPr>
            <w:tcW w:w="100" w:type="dxa"/>
            <w:vAlign w:val="bottom"/>
            <w:shd w:val="clear" w:color="auto" w:fill="CFF0FC"/>
          </w:tcPr>
          <w:p>
            <w:pPr>
              <w:spacing w:after="0"/>
              <w:rPr>
                <w:sz w:val="20"/>
                <w:szCs w:val="20"/>
                <w:color w:val="auto"/>
              </w:rPr>
            </w:pPr>
          </w:p>
        </w:tc>
      </w:tr>
      <w:tr>
        <w:trPr>
          <w:trHeight w:val="238"/>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 options and restricted stock units</w:t>
            </w:r>
          </w:p>
        </w:tc>
        <w:tc>
          <w:tcPr>
            <w:tcW w:w="38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3,157,720</w:t>
            </w:r>
          </w:p>
        </w:tc>
        <w:tc>
          <w:tcPr>
            <w:tcW w:w="100" w:type="dxa"/>
            <w:vAlign w:val="bottom"/>
          </w:tcPr>
          <w:p>
            <w:pPr>
              <w:spacing w:after="0"/>
              <w:rPr>
                <w:sz w:val="20"/>
                <w:szCs w:val="20"/>
                <w:color w:val="auto"/>
              </w:rPr>
            </w:pPr>
          </w:p>
        </w:tc>
      </w:tr>
      <w:tr>
        <w:trPr>
          <w:trHeight w:val="243"/>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Legacy Tigo warrants and common stock warrants</w:t>
            </w: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1,365,554</w:t>
            </w:r>
          </w:p>
        </w:tc>
        <w:tc>
          <w:tcPr>
            <w:tcW w:w="100" w:type="dxa"/>
            <w:vAlign w:val="bottom"/>
            <w:shd w:val="clear" w:color="auto" w:fill="CFF0FC"/>
          </w:tcPr>
          <w:p>
            <w:pPr>
              <w:spacing w:after="0"/>
              <w:rPr>
                <w:sz w:val="21"/>
                <w:szCs w:val="21"/>
                <w:color w:val="auto"/>
              </w:rPr>
            </w:pPr>
          </w:p>
        </w:tc>
      </w:tr>
      <w:tr>
        <w:trPr>
          <w:trHeight w:val="236"/>
        </w:trPr>
        <w:tc>
          <w:tcPr>
            <w:tcW w:w="75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diluted</w:t>
            </w: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59,374,019</w:t>
            </w:r>
          </w:p>
        </w:tc>
        <w:tc>
          <w:tcPr>
            <w:tcW w:w="3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11,005,136</w:t>
            </w:r>
          </w:p>
        </w:tc>
        <w:tc>
          <w:tcPr>
            <w:tcW w:w="100" w:type="dxa"/>
            <w:vAlign w:val="bottom"/>
            <w:tcBorders>
              <w:top w:val="single" w:sz="8" w:color="CFF0FC"/>
            </w:tcBorders>
          </w:tcPr>
          <w:p>
            <w:pPr>
              <w:spacing w:after="0"/>
              <w:rPr>
                <w:sz w:val="20"/>
                <w:szCs w:val="20"/>
                <w:color w:val="auto"/>
              </w:rPr>
            </w:pPr>
          </w:p>
        </w:tc>
      </w:tr>
      <w:tr>
        <w:trPr>
          <w:trHeight w:val="256"/>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earnings per share of common stock –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(0.19 )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2"/>
                <w:szCs w:val="22"/>
                <w:color w:val="auto"/>
              </w:rPr>
            </w:pP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-1951355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-1634490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-984250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-350520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excluded the effect of the below elements from our calculation of diluted (loss) earnings per share, as their inclusion would have been anti-dilutive. These amounts represent the number of instruments outstanding at the end of the period.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50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7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50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177,076</w:t>
            </w:r>
          </w:p>
        </w:tc>
        <w:tc>
          <w:tcPr>
            <w:tcW w:w="100" w:type="dxa"/>
            <w:vAlign w:val="bottom"/>
            <w:shd w:val="clear" w:color="auto" w:fill="CFF0FC"/>
          </w:tcPr>
          <w:p>
            <w:pPr>
              <w:spacing w:after="0"/>
              <w:rPr>
                <w:sz w:val="20"/>
                <w:szCs w:val="20"/>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1,694,503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318,969</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5,305,437</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5,454,548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6,999,940</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5,950,593</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F1F"/>
        </w:rPr>
        <w:t>Fair Value Measurements</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on a recurring basis using a hierarchy that prioritizes the inputs to valuation techniques used to measure fair value. Authoritative guidance establishes three levels of the fair value hierarchy as follows:</w:t>
      </w:r>
    </w:p>
    <w:p>
      <w:pPr>
        <w:spacing w:after="0" w:line="161" w:lineRule="exact"/>
        <w:rPr>
          <w:sz w:val="20"/>
          <w:szCs w:val="20"/>
          <w:color w:val="auto"/>
        </w:rPr>
      </w:pPr>
    </w:p>
    <w:p>
      <w:pPr>
        <w:ind w:left="400"/>
        <w:spacing w:after="0"/>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market prices in active markets for identical assets or liabilities;</w:t>
      </w:r>
    </w:p>
    <w:p>
      <w:pPr>
        <w:spacing w:after="0" w:line="130" w:lineRule="exact"/>
        <w:rPr>
          <w:sz w:val="20"/>
          <w:szCs w:val="20"/>
          <w:color w:val="auto"/>
        </w:rPr>
      </w:pPr>
    </w:p>
    <w:p>
      <w:pPr>
        <w:ind w:left="1160" w:right="240" w:hanging="756"/>
        <w:spacing w:after="0" w:line="281"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 model-derived valuations in which significant inputs and significant value drivers are observable in active markets; and</w:t>
      </w:r>
    </w:p>
    <w:p>
      <w:pPr>
        <w:spacing w:after="0" w:line="68" w:lineRule="exact"/>
        <w:rPr>
          <w:sz w:val="20"/>
          <w:szCs w:val="20"/>
          <w:color w:val="auto"/>
        </w:rPr>
      </w:pPr>
    </w:p>
    <w:p>
      <w:pPr>
        <w:ind w:left="1160" w:right="240" w:hanging="756"/>
        <w:spacing w:after="0" w:line="281"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Fair value measurements derived from valuation techniques in which one or more significant inputs or significant value drivers are unobservable.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260" w:type="dxa"/>
            <w:vAlign w:val="bottom"/>
            <w:shd w:val="clear" w:color="auto" w:fill="CFF0FC"/>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shares liability from fSight acquisition</w:t>
            </w:r>
          </w:p>
        </w:tc>
        <w:tc>
          <w:tcPr>
            <w:tcW w:w="1260" w:type="dxa"/>
            <w:vAlign w:val="bottom"/>
            <w:shd w:val="clear" w:color="auto" w:fill="CFF0FC"/>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(audited)</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1260" w:type="dxa"/>
            <w:vAlign w:val="bottom"/>
            <w:shd w:val="clear" w:color="auto" w:fill="CFF0FC"/>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60" w:type="dxa"/>
            <w:vAlign w:val="bottom"/>
            <w:shd w:val="clear" w:color="auto" w:fill="CFF0FC"/>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6"/>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Contingent shares liability from fSight acquisition</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there were no transfers between Level 1, Level 2 and Level 3.</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are a summary of the changes in fair value of the Company’s marketable securities as of March 31, 2024 and December 31, 2023, respectively: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marketable securities:</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(43 )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4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(47 )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100" w:type="dxa"/>
            <w:vAlign w:val="bottom"/>
            <w:shd w:val="clear" w:color="auto" w:fill="CFF0FC"/>
          </w:tcPr>
          <w:p>
            <w:pPr>
              <w:spacing w:after="0"/>
              <w:rPr>
                <w:sz w:val="22"/>
                <w:szCs w:val="22"/>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7"/>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marketable securities:</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(52 )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4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(59 )</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100" w:type="dxa"/>
            <w:vAlign w:val="bottom"/>
            <w:shd w:val="clear" w:color="auto" w:fill="CFF0FC"/>
          </w:tcPr>
          <w:p>
            <w:pPr>
              <w:spacing w:after="0"/>
              <w:rPr>
                <w:sz w:val="20"/>
                <w:szCs w:val="20"/>
                <w:color w:val="auto"/>
              </w:rPr>
            </w:pPr>
          </w:p>
        </w:tc>
      </w:tr>
      <w:tr>
        <w:trPr>
          <w:trHeight w:val="236"/>
        </w:trPr>
        <w:tc>
          <w:tcPr>
            <w:tcW w:w="44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FF0FC"/>
          </w:tcPr>
          <w:p>
            <w:pPr>
              <w:spacing w:after="0"/>
              <w:rPr>
                <w:sz w:val="21"/>
                <w:szCs w:val="2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0"/>
                <w:szCs w:val="20"/>
                <w:color w:val="auto"/>
              </w:rPr>
            </w:pPr>
          </w:p>
        </w:tc>
      </w:tr>
      <w:tr>
        <w:trPr>
          <w:trHeight w:val="240"/>
        </w:trPr>
        <w:tc>
          <w:tcPr>
            <w:tcW w:w="440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gridSpan w:val="2"/>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(66 )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-2063115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-2045970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-2063115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-2045970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-2063115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-2045970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-829945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-829945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-829945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-513080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-513080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-513080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-187960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-187960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available-for-sale securities consisted of investments that mature within one year.</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marketable securities, accounts receivable, accounts payable, and customer deposits approximate fair value due to their short-term nature. As of March 31, 2024, the fair value and carrying value of the Company’s Convertible Promissory Note (Note 9) was $54.1 million and $33.8 million, respectively. As of December 31, 2023, the fair value and carrying value of the Company’s Convertible Promissory Note (Note 9) was $58.1 million and $31.6 million, respectively. The estimated fair value for the Company’s Convertible Promissory Note was based on discounted expected future cash flows using prevailing interest rates which are Level 3 inputs under the fair value hierarchy.</w:t>
      </w:r>
    </w:p>
    <w:p>
      <w:pPr>
        <w:spacing w:after="0" w:line="28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Net Revenue</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sells its products in the Americas (North and South America), EMEA (Europe, Middle East, and Africa), and APAC (Asia-Pacific) regions.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revenue by major geographic region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30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40,259</w:t>
            </w:r>
          </w:p>
        </w:tc>
        <w:tc>
          <w:tcPr>
            <w:tcW w:w="100" w:type="dxa"/>
            <w:vAlign w:val="bottom"/>
            <w:shd w:val="clear" w:color="auto" w:fill="CFF0FC"/>
          </w:tcPr>
          <w:p>
            <w:pPr>
              <w:spacing w:after="0"/>
              <w:rPr>
                <w:sz w:val="20"/>
                <w:szCs w:val="20"/>
                <w:color w:val="auto"/>
              </w:rPr>
            </w:pP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5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3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deferred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FF0FC"/>
          </w:tcPr>
          <w:p>
            <w:pPr>
              <w:spacing w:after="0"/>
              <w:rPr>
                <w:sz w:val="20"/>
                <w:szCs w:val="20"/>
                <w:color w:val="auto"/>
              </w:rPr>
            </w:pP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Pr>
          <w:p>
            <w:pPr>
              <w:spacing w:after="0"/>
              <w:rPr>
                <w:sz w:val="20"/>
                <w:szCs w:val="20"/>
                <w:color w:val="auto"/>
              </w:rPr>
            </w:pPr>
          </w:p>
        </w:tc>
      </w:tr>
      <w:tr>
        <w:trPr>
          <w:trHeight w:val="243"/>
        </w:trPr>
        <w:tc>
          <w:tcPr>
            <w:tcW w:w="5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5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(1,416 )</w:t>
            </w:r>
          </w:p>
        </w:tc>
        <w:tc>
          <w:tcPr>
            <w:tcW w:w="9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(11,712 )</w:t>
            </w:r>
          </w:p>
        </w:tc>
      </w:tr>
      <w:tr>
        <w:trPr>
          <w:trHeight w:val="236"/>
        </w:trPr>
        <w:tc>
          <w:tcPr>
            <w:tcW w:w="59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80" w:type="dxa"/>
            <w:vAlign w:val="bottom"/>
            <w:tcBorders>
              <w:top w:val="single" w:sz="8" w:color="CFF0FC"/>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top w:val="single" w:sz="8" w:color="CFF0FC"/>
            </w:tcBorders>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the Company expects to recognize $1.1 million from remaining performance obligations over a weighted average term of 3.7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6"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recognized approximately $0.2 million and $0.7 million in revenue that was included in the beginning contract liabilities balance during the three months ended March 31,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w:t>
      </w:r>
      <w:r>
        <w:rPr>
          <w:rFonts w:ascii="Times New Roman" w:cs="Times New Roman" w:eastAsia="Times New Roman" w:hAnsi="Times New Roman"/>
          <w:sz w:val="18"/>
          <w:szCs w:val="18"/>
          <w:color w:val="000000"/>
        </w:rPr>
        <w:t>, from time to time, specific warranty accruals may be made if unforeseen technical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sectPr>
          <w:pgSz w:w="11900" w:h="16838" w:orient="portrait"/>
          <w:cols w:equalWidth="0" w:num="1">
            <w:col w:w="11240"/>
          </w:cols>
          <w:pgMar w:left="320" w:top="764"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product warranty liability: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liability, beginning of the period</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FF0FC"/>
          </w:tcPr>
          <w:p>
            <w:pPr>
              <w:spacing w:after="0"/>
              <w:rPr>
                <w:sz w:val="20"/>
                <w:szCs w:val="20"/>
                <w:color w:val="auto"/>
              </w:rPr>
            </w:pPr>
          </w:p>
        </w:tc>
      </w:tr>
      <w:tr>
        <w:trPr>
          <w:trHeight w:val="238"/>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warranty issued during period</w:t>
            </w: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r>
      <w:tr>
        <w:trPr>
          <w:trHeight w:val="247"/>
        </w:trPr>
        <w:tc>
          <w:tcPr>
            <w:tcW w:w="5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 changes in estimate</w:t>
            </w:r>
          </w:p>
        </w:tc>
        <w:tc>
          <w:tcPr>
            <w:tcW w:w="5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(197 )</w:t>
            </w:r>
          </w:p>
        </w:tc>
        <w:tc>
          <w:tcPr>
            <w:tcW w:w="9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(431 )</w:t>
            </w:r>
          </w:p>
        </w:tc>
      </w:tr>
      <w:tr>
        <w:trPr>
          <w:trHeight w:val="238"/>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580" w:type="dxa"/>
            <w:vAlign w:val="bottom"/>
          </w:tcPr>
          <w:p>
            <w:pPr>
              <w:spacing w:after="0"/>
              <w:rPr>
                <w:sz w:val="20"/>
                <w:szCs w:val="20"/>
                <w:color w:val="auto"/>
              </w:rPr>
            </w:pP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(94 )</w:t>
            </w:r>
          </w:p>
        </w:tc>
        <w:tc>
          <w:tcPr>
            <w:tcW w:w="92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r>
      <w:tr>
        <w:trPr>
          <w:trHeight w:val="276"/>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liability, end of the period</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3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Balance Sheet Information</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Selected financial data as of the dates presented below is as follows (in thousands, except useful life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Inventory, net</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680" w:type="dxa"/>
            <w:vAlign w:val="bottom"/>
            <w:gridSpan w:val="4"/>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1240" w:type="dxa"/>
            <w:vAlign w:val="bottom"/>
            <w:tcBorders>
              <w:bottom w:val="single" w:sz="8" w:color="CFF0FC"/>
            </w:tcBorders>
            <w:gridSpan w:val="3"/>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55,757</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60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The inventory reserve was $1.4 million and $1.0 million as of March 31, 2024 and December 31, 2023, respectively.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160" w:type="dxa"/>
            <w:vAlign w:val="bottom"/>
          </w:tcPr>
          <w:p>
            <w:pPr>
              <w:spacing w:after="0"/>
              <w:rPr>
                <w:sz w:val="24"/>
                <w:szCs w:val="24"/>
                <w:color w:val="auto"/>
              </w:rPr>
            </w:pPr>
          </w:p>
        </w:tc>
        <w:tc>
          <w:tcPr>
            <w:tcW w:w="1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FF0FC"/>
          </w:tcPr>
          <w:p>
            <w:pPr>
              <w:spacing w:after="0"/>
              <w:rPr>
                <w:sz w:val="20"/>
                <w:szCs w:val="20"/>
                <w:color w:val="auto"/>
              </w:rPr>
            </w:pPr>
          </w:p>
        </w:tc>
        <w:tc>
          <w:tcPr>
            <w:tcW w:w="1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5,930</w:t>
            </w:r>
          </w:p>
        </w:tc>
        <w:tc>
          <w:tcPr>
            <w:tcW w:w="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3 - 6 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4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7,438</w:t>
            </w:r>
          </w:p>
        </w:tc>
        <w:tc>
          <w:tcPr>
            <w:tcW w:w="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4,063</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3,375</w:t>
            </w:r>
          </w:p>
        </w:tc>
        <w:tc>
          <w:tcPr>
            <w:tcW w:w="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-2165350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-2148840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-504825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depreciation expense of $0.2 million and $0.2 million, respectively, in the condensed consolidated statements of operations and comprehensive (loss)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Accrued expenses and other current liabilities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13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1,031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1,740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warehouse and freight</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Other current liabilities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2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6,039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11" w:lineRule="auto"/>
        <w:tabs>
          <w:tab w:leader="none" w:pos="5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current liabilities as of March 31, 2024 and 2023, primarily consist of the contingent shares liability related to the acquisition of fSight in Q1 2023. See Note 4 for additional information.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balance</w:t>
            </w:r>
          </w:p>
        </w:tc>
        <w:tc>
          <w:tcPr>
            <w:tcW w:w="1380" w:type="dxa"/>
            <w:vAlign w:val="bottom"/>
            <w:gridSpan w:val="2"/>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0"/>
                <w:szCs w:val="20"/>
                <w:color w:val="auto"/>
              </w:rPr>
            </w:pPr>
          </w:p>
        </w:tc>
      </w:tr>
      <w:tr>
        <w:trPr>
          <w:trHeight w:val="263"/>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charges to expense or revenue</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(852 )</w:t>
            </w: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22"/>
                <w:szCs w:val="22"/>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36"/>
        </w:trPr>
        <w:tc>
          <w:tcPr>
            <w:tcW w:w="7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ending balance</w:t>
            </w:r>
          </w:p>
        </w:tc>
        <w:tc>
          <w:tcPr>
            <w:tcW w:w="200" w:type="dxa"/>
            <w:vAlign w:val="bottom"/>
            <w:tcBorders>
              <w:top w:val="single" w:sz="8" w:color="CFF0FC"/>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top w:val="single" w:sz="8" w:color="CFF0FC"/>
            </w:tcBorders>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2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22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420" w:type="dxa"/>
            <w:vAlign w:val="bottom"/>
            <w:gridSpan w:val="2"/>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20"/>
                <w:szCs w:val="20"/>
                <w:color w:val="auto"/>
              </w:rPr>
            </w:pPr>
          </w:p>
        </w:tc>
      </w:tr>
      <w:tr>
        <w:trPr>
          <w:trHeight w:val="23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(16,195 )</w:t>
            </w:r>
          </w:p>
        </w:tc>
        <w:tc>
          <w:tcPr>
            <w:tcW w:w="28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(18,430 )</w:t>
            </w:r>
          </w:p>
        </w:tc>
      </w:tr>
      <w:tr>
        <w:trPr>
          <w:trHeight w:val="276"/>
        </w:trPr>
        <w:tc>
          <w:tcPr>
            <w:tcW w:w="220" w:type="dxa"/>
            <w:vAlign w:val="bottom"/>
            <w:tcBorders>
              <w:bottom w:val="single" w:sz="8" w:color="CFF0FC"/>
            </w:tcBorders>
            <w:shd w:val="clear" w:color="auto" w:fill="CFF0FC"/>
          </w:tcPr>
          <w:p>
            <w:pPr>
              <w:spacing w:after="0"/>
              <w:rPr>
                <w:sz w:val="24"/>
                <w:szCs w:val="24"/>
                <w:color w:val="auto"/>
              </w:rPr>
            </w:pPr>
          </w:p>
        </w:tc>
        <w:tc>
          <w:tcPr>
            <w:tcW w:w="68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debt, net of unamortized debt discount and issuance costs</w:t>
            </w: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amortization of $2.2 million and $47,000, respectively, to interest expense pertaining to debt discount and issuance costs. The amortization associated with the Convertible Promissory Note as of March 31, 2024, primarily consists of the debt discount that was recorded as a result of the bifurcation of the conversion option at the time of the Business Combination. See below in this note for further information on the conversion option bifurcation for the Convertible Promissory Note, as defined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9, 2023, the Company entered into the Note Purchase Agreement (“Note Purchase Agreement”) with L1 Energy Capital Management S.a.r.l. (“L1 Energy”) pursuant to which the Company issued the Convertible Promissory Note in the aggregate principal amount of $50.0 million (the “Convertible Promissory Note”). Outstanding borrowings under the Convertible Promissory Note bears interest at a rate of 5.0% per year. The principal amount of the Convertible Promissory Note is due at the maturity date of January 9, 2026, and interest is payable semiannually beginning July 2023. As of March 31, 2024, there was $0.6 million of accrued interest in the condensed consolidated balance sheet.</w:t>
      </w:r>
    </w:p>
    <w:p>
      <w:pPr>
        <w:spacing w:after="0" w:line="1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Business Combination, the conversion options were bifurcated and accounted for as derivatives. Upon recognition, the Company recorded the conversion options at fair value and associated debt discount of $23.5 million. On September 24, 2023, the Company and L1 Energy entered into the Convertible Note Amendment which modified the conversion terms of the Convertible Promissory Notes. As a result, the conversion options no longer met the criteria to be bifurcated into a convertible note derivative liability; instead, the conversion options were reclassified to equity under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815, Derivatives and Hedging</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aggregate principal maturities of long-term debt are as follows as of March 31, 2024 (in thousands):</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21"/>
                <w:szCs w:val="21"/>
                <w:color w:val="auto"/>
              </w:rPr>
            </w:pP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89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2022-1 Notes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January 2023, concurrently with the Convertible Promissory Note transaction, the Company repaid the Series 2022-1 Notes issued in January 2022 with a principal amount of $25.0 million at a fixed interest rate of 5.5% per year (“Series 2022-1 Notes”) in full with the proceeds from the Convertible Promissory Note and wrote off $0.2 million of unamortized debt issuance costs related to the previously outstanding Series 2022-1 Notes, which are included in loss on debt extinguishment on the condensed consolidated statements of operations and comprehensive (loss) income.</w:t>
      </w:r>
    </w:p>
    <w:p>
      <w:pPr>
        <w:spacing w:after="0" w:line="28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compensation and severance in certain circumstances, as defined in the respective employment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spacing w:after="0" w:line="16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believes the current estimated fair value of any obligation from these indemnification agreements is minimal; therefore, these condensed consolidated financial statements do not include a liability for any potential obligations at March 31, 2024.</w:t>
      </w:r>
    </w:p>
    <w:p>
      <w:pPr>
        <w:spacing w:after="0" w:line="26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Preferred Stock and Convertible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and Preferred Stock</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150,000,000 shares of Common Stock. Each share of Common Stock entitles the holder to one vote on all matters submitted to a vote of the Company’s stockholders.</w:t>
      </w:r>
    </w:p>
    <w:p>
      <w:pPr>
        <w:spacing w:after="0" w:line="163" w:lineRule="exact"/>
        <w:rPr>
          <w:sz w:val="20"/>
          <w:szCs w:val="20"/>
          <w:color w:val="auto"/>
        </w:rPr>
      </w:pPr>
    </w:p>
    <w:p>
      <w:pPr>
        <w:jc w:val="center"/>
        <w:ind w:right="140"/>
        <w:spacing w:after="0" w:line="406" w:lineRule="auto"/>
        <w:rPr>
          <w:sz w:val="20"/>
          <w:szCs w:val="20"/>
          <w:color w:val="auto"/>
        </w:rPr>
      </w:pPr>
      <w:r>
        <w:rPr>
          <w:rFonts w:ascii="Times New Roman" w:cs="Times New Roman" w:eastAsia="Times New Roman" w:hAnsi="Times New Roman"/>
          <w:sz w:val="18"/>
          <w:szCs w:val="18"/>
          <w:color w:val="auto"/>
        </w:rPr>
        <w:t>The Company is authorized to issue 10,000,000 shares of Preferred Stock. As of March 31, 2024, there was no Preferred Stock outstanding.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30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3,987,761</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832,733</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potential conversion of L1 Convertible Note</w:t>
            </w:r>
          </w:p>
        </w:tc>
        <w:tc>
          <w:tcPr>
            <w:tcW w:w="2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5,305,861</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fSight Contingent Shares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86,017</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w:t>
            </w:r>
          </w:p>
        </w:tc>
        <w:tc>
          <w:tcPr>
            <w:tcW w:w="2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5,905,424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spacing w:after="0"/>
              <w:rPr>
                <w:sz w:val="20"/>
                <w:szCs w:val="20"/>
                <w:color w:val="auto"/>
              </w:rPr>
            </w:pP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16,117,796</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Legacy Tigo had outstanding warrants to purchase 1,915,372 shares of Legacy Tigo common stock (“Legacy Warrants”), which (prior to the consummation of the Business Combination) represented rights to purchase Legacy Tigo common stock. During the year ended December 31, 2023, 1,915,372 Legacy Warrants were net exercised resulting in the issuance of 1,491,229 shares of Common Stock. As of March 31, 2024, there were no Legacy Warrants outstanding.</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the Company assumed 5,750,000 </w:t>
      </w:r>
      <w:r>
        <w:rPr>
          <w:rFonts w:ascii="Times New Roman" w:cs="Times New Roman" w:eastAsia="Times New Roman" w:hAnsi="Times New Roman"/>
          <w:sz w:val="18"/>
          <w:szCs w:val="18"/>
          <w:color w:val="221F1F"/>
        </w:rPr>
        <w:t>warrants originally issued as part of ROCG’s units in ROCG’s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F1F"/>
        </w:rPr>
        <w:t xml:space="preserve">initial public offering (the “Public Warrants”) </w:t>
      </w:r>
      <w:r>
        <w:rPr>
          <w:rFonts w:ascii="Times New Roman" w:cs="Times New Roman" w:eastAsia="Times New Roman" w:hAnsi="Times New Roman"/>
          <w:sz w:val="18"/>
          <w:szCs w:val="18"/>
          <w:color w:val="000000"/>
        </w:rPr>
        <w:t>and 18,750</w:t>
      </w:r>
      <w:r>
        <w:rPr>
          <w:rFonts w:ascii="Times New Roman" w:cs="Times New Roman" w:eastAsia="Times New Roman" w:hAnsi="Times New Roman"/>
          <w:sz w:val="18"/>
          <w:szCs w:val="18"/>
          <w:color w:val="221F1F"/>
        </w:rPr>
        <w:t xml:space="preserve"> warrants issued to the initial stockholders of ROCG in a private placement in connection with ROCG’s initial public offering (the “Private Warrants” and, together with the Public Warrants, the “Warrants”), </w:t>
      </w:r>
      <w:r>
        <w:rPr>
          <w:rFonts w:ascii="Times New Roman" w:cs="Times New Roman" w:eastAsia="Times New Roman" w:hAnsi="Times New Roman"/>
          <w:sz w:val="18"/>
          <w:szCs w:val="18"/>
          <w:color w:val="000000"/>
        </w:rPr>
        <w:t>which, in each case, entitle the holder to</w:t>
      </w:r>
      <w:r>
        <w:rPr>
          <w:rFonts w:ascii="Times New Roman" w:cs="Times New Roman" w:eastAsia="Times New Roman" w:hAnsi="Times New Roman"/>
          <w:sz w:val="18"/>
          <w:szCs w:val="18"/>
          <w:color w:val="221F1F"/>
        </w:rPr>
        <w:t xml:space="preserve"> </w:t>
      </w:r>
      <w:r>
        <w:rPr>
          <w:rFonts w:ascii="Times New Roman" w:cs="Times New Roman" w:eastAsia="Times New Roman" w:hAnsi="Times New Roman"/>
          <w:sz w:val="18"/>
          <w:szCs w:val="18"/>
          <w:color w:val="000000"/>
        </w:rPr>
        <w:t xml:space="preserve">purchase one share of Common Stock at an exercise price of $11.50 per share. Except with respect to certain registration rights and transfer restrictions, the Private Warrants are identical to the Public Warrants. The Company has analyzed the Warrants and determined they are freestanding instruments and do not exhibit any of the characteristics in </w:t>
      </w:r>
      <w:r>
        <w:rPr>
          <w:rFonts w:ascii="Times New Roman" w:cs="Times New Roman" w:eastAsia="Times New Roman" w:hAnsi="Times New Roman"/>
          <w:sz w:val="18"/>
          <w:szCs w:val="18"/>
          <w:i w:val="1"/>
          <w:iCs w:val="1"/>
          <w:color w:val="000000"/>
        </w:rPr>
        <w:t>ASC 480, Distinguishing Liabilities from Equity</w:t>
      </w:r>
      <w:r>
        <w:rPr>
          <w:rFonts w:ascii="Times New Roman" w:cs="Times New Roman" w:eastAsia="Times New Roman" w:hAnsi="Times New Roman"/>
          <w:sz w:val="18"/>
          <w:szCs w:val="18"/>
          <w:color w:val="000000"/>
        </w:rPr>
        <w:t xml:space="preserve">, and therefore are not classified as liabilities under </w:t>
      </w:r>
      <w:r>
        <w:rPr>
          <w:rFonts w:ascii="Times New Roman" w:cs="Times New Roman" w:eastAsia="Times New Roman" w:hAnsi="Times New Roman"/>
          <w:sz w:val="18"/>
          <w:szCs w:val="18"/>
          <w:i w:val="1"/>
          <w:iCs w:val="1"/>
          <w:color w:val="000000"/>
        </w:rPr>
        <w:t>ASC 480,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Distinguishing Liabilities from Equity</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at a redemption price of $0.01 per Warrant for those Warrants that remain outstanding following 5:00 p.m. New York City time on September 8, 2023.</w:t>
      </w:r>
    </w:p>
    <w:p>
      <w:pPr>
        <w:spacing w:after="0" w:line="18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Under the terms of the Warrant Agreement, the Company was entitled to redeem all of its outstanding Warrants for $0.01 per Warrant if the reported closing price of the Company’s Common Stock was at least $18.00 per share on each of twenty trading days within a thirty trading day period ending on the third trading day prior to the date on which a notice of redemption is given. This performance threshold was achieved following the market close on August 4, 2023.</w:t>
      </w:r>
    </w:p>
    <w:p>
      <w:pPr>
        <w:spacing w:after="0" w:line="182"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 total of 324,546 Warrants were exercised through September 8, 2023, resulting in proceeds, net of issuance costs, of $3.7 million. All other Warrants were redeemed on September 8, 2023.</w:t>
      </w:r>
    </w:p>
    <w:p>
      <w:pPr>
        <w:spacing w:after="0" w:line="16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paid $0.1 million for the remaining Warrants that were not exercised as of September 8, 2023, which was recorded as a reduction to additional paid-in capital on the Company’s condensed consolidated balance sheet. As of March 31, 2024, there were no Warrants outstanding.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as discussed in Note 3, the Company issued 47,918,992 shares of Common Stock to holders of convertible preferred stock of Legacy Tigo. No convertible preferred securities were outstanding as of March 31, 2024. Prior to the Business Combination, Legacy Tigo’s convertible preferred stock was classified outside of stockholders’ deficit because the shares contained deemed liquidation rights that were contingent redemption features not solely within the control of Legacy Tigo. As a result, all of Legacy Tigo’s convertible preferred stock was classified as mezzanine equity.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 Warrants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Warrants to purchase a total of 1,064,446 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w:t>
      </w:r>
    </w:p>
    <w:p>
      <w:pPr>
        <w:sectPr>
          <w:pgSz w:w="11900" w:h="16838" w:orient="portrait"/>
          <w:cols w:equalWidth="0" w:num="1">
            <w:col w:w="11240"/>
          </w:cols>
          <w:pgMar w:left="320" w:top="764" w:right="33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 shares of convertible preferred stock which were immediately converted into Common Stock in connection with the recapitalization. As of March 31, 2024, there were no convertible preferred stock warrants outstanding.</w:t>
      </w:r>
    </w:p>
    <w:p>
      <w:pPr>
        <w:spacing w:after="0" w:line="29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During the three months ended March 31, 2024, there were no exercises of common stock options prior to the vesting of such options. Options outstanding under the 2008 Plan will remain outstanding until they are exercised, canceled or expire.</w:t>
      </w:r>
    </w:p>
    <w:p>
      <w:pPr>
        <w:spacing w:after="0" w:line="18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May 2018, the Company adopted the 2018 Stock Plan (“2018 Plan”) under which the Company may issue stock options to purchase shares of common stock, and award restricted stock and stock appreciation rights to employees, Directors and consultants.</w:t>
      </w:r>
    </w:p>
    <w:p>
      <w:pPr>
        <w:spacing w:after="0" w:line="16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is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 During the three months ended March 31, 2024, there were no exercises of common stock options prior to the vesting of such options.</w:t>
      </w:r>
    </w:p>
    <w:p>
      <w:pPr>
        <w:spacing w:after="0" w:line="1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May 2023, the Company adopted the 2023 Equity Incentive Plan (“2023 Plan”) under which the Company may issue stock options to purchase shares of common stock, award restricted stock, restricted stock units (“RSU”), dividend equivalents, stock appreciation rights, and other stock-based or cash-based awards to employees, Directors and consultants.</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Through March 31, 2024, the Company has granted 1,097,901 stock options to purchase shares of common stock and 1,517,946 RSU’s under the 2023 Plan. The stock options generally vest over a four-year period, following the date of grant, with 25% vesting on the first anniversary of the grant date and the remaining vesting in equal monthly installments thereafter. As of March 31, 2024, 15,911 stock options granted under the 2023 Plan had vested and were exercisable. There have been no stock options exercised under the 2023 Plan. The RSUs generally vest over a three-year period, following the date of grant, with a third of the award vesting on each year on the annual anniversary of the grant date. During the three months ended March 31, 2024, the Company granted 685,213 RSUs to employees and executives pursuant to the 2023 Plan, which immediately vested into shares of Common Stock. As of March 31, 2024, 685,213 RSUs that were granted under the 2023 Plan have vested.</w:t>
      </w:r>
    </w:p>
    <w:p>
      <w:pPr>
        <w:spacing w:after="0" w:line="18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Collectively, the 2008 Stock Plan, 2018 Stock Plan and the 2023 Equity Incentive Plan are referred to as “the Plans”. The Company has authorized 9,189,613 shares of common stock to be issued under the Plans. The Company has reserved 5,905,424 shares of common stock for future issuance under the 2023 Plan.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condensed consolidated statements of operations and comprehensive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3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0"/>
                <w:szCs w:val="20"/>
                <w:color w:val="auto"/>
              </w:rPr>
            </w:pPr>
          </w:p>
        </w:tc>
      </w:tr>
      <w:tr>
        <w:trPr>
          <w:trHeight w:val="23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r>
      <w:tr>
        <w:trPr>
          <w:trHeight w:val="23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76"/>
        </w:trPr>
        <w:tc>
          <w:tcPr>
            <w:tcW w:w="54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Plans for the three months ended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vMerge w:val="restart"/>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300" w:type="dxa"/>
            <w:vAlign w:val="bottom"/>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00" w:type="dxa"/>
            <w:vAlign w:val="bottom"/>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30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4,872,527</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20"/>
                <w:szCs w:val="20"/>
                <w:color w:val="auto"/>
              </w:rPr>
            </w:pP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(755,016 )</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(83,150 )</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6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(46,600 )</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60" w:type="dxa"/>
            <w:vAlign w:val="bottom"/>
            <w:tcBorders>
              <w:top w:val="single" w:sz="8" w:color="CFF0FC"/>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3,987,761</w:t>
            </w:r>
          </w:p>
        </w:tc>
        <w:tc>
          <w:tcPr>
            <w:tcW w:w="32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620" w:type="dxa"/>
            <w:vAlign w:val="bottom"/>
            <w:tcBorders>
              <w:top w:val="single" w:sz="8" w:color="CFF0FC"/>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6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2,138,472</w:t>
            </w:r>
          </w:p>
        </w:tc>
        <w:tc>
          <w:tcPr>
            <w:tcW w:w="3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20" w:type="dxa"/>
            <w:vAlign w:val="bottom"/>
            <w:tcBorders>
              <w:bottom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Vested and expected to vest at March 31,</w:t>
            </w: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3,987,761</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-658495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-316230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-299085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the total unrecognized compensation expense related to unvested stock option awards was $8.6 million, which the Company expects to recognize over a weighted-average period of 3.0 years.</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spacing w:after="0" w:line="69" w:lineRule="exact"/>
        <w:rPr>
          <w:sz w:val="20"/>
          <w:szCs w:val="20"/>
          <w:color w:val="auto"/>
        </w:rPr>
      </w:pPr>
    </w:p>
    <w:p>
      <w:pPr>
        <w:jc w:val="both"/>
        <w:ind w:left="1020" w:hanging="504"/>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based on historical volatilities of similar entities within the Company’s industry which were commensurate with the expected term assumption as described in SAB No. 107.</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assumed expected term.</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0% because the Company has not historically paid and does not expect in the foreseeable future to pay a dividend on its common stock.</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sectPr>
          <w:pgSz w:w="11900" w:h="16838" w:orient="portrait"/>
          <w:cols w:equalWidth="0" w:num="1">
            <w:col w:w="11240"/>
          </w:cols>
          <w:pgMar w:left="320" w:top="764"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2024. The fair value of each stock option granted during the three months ended March 31, 2023 was estimated on the date of grant using the weighted average assumptions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gridSpan w:val="2"/>
          </w:tcPr>
          <w:p>
            <w:pPr>
              <w:spacing w:after="0"/>
              <w:rPr>
                <w:sz w:val="16"/>
                <w:szCs w:val="16"/>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71.2 %</w:t>
            </w:r>
          </w:p>
        </w:tc>
      </w:tr>
      <w:tr>
        <w:trPr>
          <w:trHeight w:val="24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shd w:val="clear" w:color="auto" w:fill="CFF0FC"/>
          </w:tcPr>
          <w:p>
            <w:pPr>
              <w:spacing w:after="0"/>
              <w:rPr>
                <w:sz w:val="21"/>
                <w:szCs w:val="21"/>
                <w:color w:val="auto"/>
              </w:rPr>
            </w:pPr>
          </w:p>
        </w:tc>
        <w:tc>
          <w:tcPr>
            <w:tcW w:w="2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48"/>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5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for the Plans for the three months ended March 31, 2024: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7"/>
        </w:trPr>
        <w:tc>
          <w:tcPr>
            <w:tcW w:w="5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160" w:type="dxa"/>
            <w:vAlign w:val="bottom"/>
            <w:gridSpan w:val="2"/>
          </w:tcPr>
          <w:p>
            <w:pPr>
              <w:spacing w:after="0"/>
              <w:rPr>
                <w:sz w:val="16"/>
                <w:szCs w:val="16"/>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872,037</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685,213</w:t>
            </w:r>
          </w:p>
        </w:tc>
        <w:tc>
          <w:tcPr>
            <w:tcW w:w="4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(685,213 )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21"/>
                <w:szCs w:val="21"/>
                <w:color w:val="auto"/>
              </w:rPr>
            </w:pPr>
          </w:p>
        </w:tc>
        <w:tc>
          <w:tcPr>
            <w:tcW w:w="3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(39,304 )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240" w:type="dxa"/>
            <w:vAlign w:val="bottom"/>
            <w:tcBorders>
              <w:bottom w:val="single" w:sz="8" w:color="CFF0FC"/>
            </w:tcBorders>
            <w:shd w:val="clear" w:color="auto" w:fill="CFF0FC"/>
          </w:tcPr>
          <w:p>
            <w:pPr>
              <w:spacing w:after="0"/>
              <w:rPr>
                <w:sz w:val="24"/>
                <w:szCs w:val="24"/>
                <w:color w:val="auto"/>
              </w:rPr>
            </w:pPr>
          </w:p>
        </w:tc>
        <w:tc>
          <w:tcPr>
            <w:tcW w:w="2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832,733</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the total unrecognized compensation expense related to unvested RSUs was $7.2 million, which the Company expects to recognize over a weighted-average period of 2.3 years.</w:t>
      </w:r>
    </w:p>
    <w:p>
      <w:pPr>
        <w:spacing w:after="0" w:line="26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As a lessee, the Company currently leases office space and vehicles in the United States, Italy, Israel, China, Philippines and Thailand. All of the Company leases are classified as operating leases. The Company has no leases classified as finance or sales-type leases. For leases with terms greater than 12 months, the Company records the related assets and obligations at the present value of lease payments over the term. Many of its leases include rental escalation clauses, renewal options and/or termination options that are factored into the Company’s determination of lease payments.</w:t>
      </w:r>
    </w:p>
    <w:p>
      <w:pPr>
        <w:spacing w:after="0" w:line="182"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seven years, some of which include options to extend the leases for up to eight years, and some of which include options to terminate the leases within one year.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80" w:type="dxa"/>
            <w:vAlign w:val="bottom"/>
          </w:tcPr>
          <w:p>
            <w:pPr>
              <w:spacing w:after="0"/>
              <w:rPr>
                <w:sz w:val="16"/>
                <w:szCs w:val="16"/>
                <w:color w:val="auto"/>
              </w:rPr>
            </w:pPr>
          </w:p>
        </w:tc>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10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80" w:type="dxa"/>
            <w:vAlign w:val="bottom"/>
          </w:tcPr>
          <w:p>
            <w:pPr>
              <w:spacing w:after="0"/>
              <w:rPr>
                <w:sz w:val="20"/>
                <w:szCs w:val="20"/>
                <w:color w:val="auto"/>
              </w:rPr>
            </w:pPr>
          </w:p>
        </w:tc>
        <w:tc>
          <w:tcPr>
            <w:tcW w:w="5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costs</w:t>
            </w:r>
          </w:p>
        </w:tc>
        <w:tc>
          <w:tcPr>
            <w:tcW w:w="78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Variable lease costs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80" w:type="dxa"/>
            <w:vAlign w:val="bottom"/>
          </w:tcPr>
          <w:p>
            <w:pPr>
              <w:spacing w:after="0"/>
              <w:rPr>
                <w:sz w:val="24"/>
                <w:szCs w:val="24"/>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right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80" w:type="dxa"/>
            <w:vAlign w:val="bottom"/>
          </w:tcPr>
          <w:p>
            <w:pPr>
              <w:spacing w:after="0"/>
              <w:rPr>
                <w:sz w:val="24"/>
                <w:szCs w:val="24"/>
                <w:color w:val="auto"/>
              </w:rPr>
            </w:pPr>
          </w:p>
        </w:tc>
        <w:tc>
          <w:tcPr>
            <w:tcW w:w="5380" w:type="dxa"/>
            <w:vAlign w:val="bottom"/>
            <w:tcBorders>
              <w:top w:val="single" w:sz="8" w:color="CFF0FC"/>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393"/>
        </w:trPr>
        <w:tc>
          <w:tcPr>
            <w:tcW w:w="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5"/>
        </w:trPr>
        <w:tc>
          <w:tcPr>
            <w:tcW w:w="5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 (in thousands)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04"/>
        </w:trPr>
        <w:tc>
          <w:tcPr>
            <w:tcW w:w="80" w:type="dxa"/>
            <w:vAlign w:val="bottom"/>
            <w:shd w:val="clear" w:color="auto" w:fill="CFF0FC"/>
          </w:tcPr>
          <w:p>
            <w:pPr>
              <w:spacing w:after="0"/>
              <w:rPr>
                <w:sz w:val="17"/>
                <w:szCs w:val="17"/>
                <w:color w:val="auto"/>
              </w:rPr>
            </w:pPr>
          </w:p>
        </w:tc>
        <w:tc>
          <w:tcPr>
            <w:tcW w:w="5380" w:type="dxa"/>
            <w:vAlign w:val="bottom"/>
            <w:gridSpan w:val="2"/>
            <w:shd w:val="clear" w:color="auto" w:fill="CFF0FC"/>
          </w:tcPr>
          <w:p>
            <w:pPr>
              <w:ind w:left="40"/>
              <w:spacing w:after="0" w:line="204"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operating</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48"/>
        </w:trPr>
        <w:tc>
          <w:tcPr>
            <w:tcW w:w="80" w:type="dxa"/>
            <w:vAlign w:val="bottom"/>
            <w:shd w:val="clear" w:color="auto" w:fill="CFF0FC"/>
          </w:tcPr>
          <w:p>
            <w:pPr>
              <w:spacing w:after="0"/>
              <w:rPr>
                <w:sz w:val="21"/>
                <w:szCs w:val="21"/>
                <w:color w:val="auto"/>
              </w:rPr>
            </w:pPr>
          </w:p>
        </w:tc>
        <w:tc>
          <w:tcPr>
            <w:tcW w:w="5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78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60" w:type="dxa"/>
            <w:vAlign w:val="bottom"/>
            <w:shd w:val="clear" w:color="auto" w:fill="CFF0FC"/>
          </w:tcPr>
          <w:p>
            <w:pPr>
              <w:spacing w:after="0"/>
              <w:rPr>
                <w:sz w:val="21"/>
                <w:szCs w:val="21"/>
                <w:color w:val="auto"/>
              </w:rPr>
            </w:pPr>
          </w:p>
        </w:tc>
      </w:tr>
      <w:tr>
        <w:trPr>
          <w:trHeight w:val="256"/>
        </w:trPr>
        <w:tc>
          <w:tcPr>
            <w:tcW w:w="80" w:type="dxa"/>
            <w:vAlign w:val="bottom"/>
          </w:tcPr>
          <w:p>
            <w:pPr>
              <w:spacing w:after="0"/>
              <w:rPr>
                <w:sz w:val="22"/>
                <w:szCs w:val="22"/>
                <w:color w:val="auto"/>
              </w:rPr>
            </w:pPr>
          </w:p>
        </w:tc>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22"/>
                <w:szCs w:val="22"/>
                <w:color w:val="auto"/>
              </w:rPr>
            </w:pPr>
          </w:p>
        </w:tc>
        <w:tc>
          <w:tcPr>
            <w:tcW w:w="10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-1172210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-1155065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-1172210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-1155065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2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gridSpan w:val="2"/>
          </w:tcPr>
          <w:p>
            <w:pPr>
              <w:spacing w:after="0"/>
              <w:rPr>
                <w:sz w:val="16"/>
                <w:szCs w:val="16"/>
                <w:color w:val="auto"/>
              </w:rPr>
            </w:pPr>
          </w:p>
        </w:tc>
      </w:tr>
      <w:tr>
        <w:trPr>
          <w:trHeight w:val="23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7"/>
              </w:rPr>
              <w:t>2.7</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5.0 %</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440"/>
        </w:trPr>
        <w:tc>
          <w:tcPr>
            <w:tcW w:w="77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Future maturities of lease liabilities were as follows as of March 31, 2024:</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gridSpan w:val="2"/>
          </w:tcPr>
          <w:p>
            <w:pPr>
              <w:spacing w:after="0"/>
              <w:rPr>
                <w:sz w:val="24"/>
                <w:szCs w:val="24"/>
                <w:color w:val="auto"/>
              </w:rPr>
            </w:pPr>
          </w:p>
        </w:tc>
      </w:tr>
      <w:tr>
        <w:trPr>
          <w:trHeight w:val="23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Remainder of 2024</w:t>
            </w:r>
          </w:p>
        </w:tc>
        <w:tc>
          <w:tcPr>
            <w:tcW w:w="1800" w:type="dxa"/>
            <w:vAlign w:val="bottom"/>
            <w:gridSpan w:val="5"/>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2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2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0" w:type="dxa"/>
            <w:vAlign w:val="bottom"/>
            <w:gridSpan w:val="5"/>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70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5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560" w:type="dxa"/>
            <w:vAlign w:val="bottom"/>
            <w:tcBorders>
              <w:bottom w:val="single" w:sz="8" w:color="CFF0FC"/>
            </w:tcBorders>
            <w:gridSpan w:val="4"/>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the Company had a goodwill balance of $12.2 million. The goodwill balance is related to the acquisition of fSight. Please refer to Note 4. “Acquisition of Foresight Energy, Ltd.” for further information.</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intangible assets by major asset class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useful life amounts)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15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2"/>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Amortizing:</w:t>
            </w:r>
          </w:p>
        </w:tc>
        <w:tc>
          <w:tcPr>
            <w:tcW w:w="11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tcBorders>
              <w:top w:val="single" w:sz="8" w:color="auto"/>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80" w:type="dxa"/>
            <w:vAlign w:val="bottom"/>
            <w:tcBorders>
              <w:top w:val="single" w:sz="8" w:color="auto"/>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400" w:type="dxa"/>
            <w:vAlign w:val="bottom"/>
            <w:shd w:val="clear" w:color="auto" w:fill="CFF0FC"/>
          </w:tcPr>
          <w:p>
            <w:pPr>
              <w:spacing w:after="0"/>
              <w:rPr>
                <w:sz w:val="4"/>
                <w:szCs w:val="4"/>
                <w:color w:val="auto"/>
              </w:rPr>
            </w:pPr>
          </w:p>
        </w:tc>
        <w:tc>
          <w:tcPr>
            <w:tcW w:w="116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1580" w:type="dxa"/>
            <w:vAlign w:val="bottom"/>
            <w:shd w:val="clear" w:color="auto" w:fill="CFF0FC"/>
          </w:tcPr>
          <w:p>
            <w:pPr>
              <w:spacing w:after="0"/>
              <w:rPr>
                <w:sz w:val="4"/>
                <w:szCs w:val="4"/>
                <w:color w:val="auto"/>
              </w:rPr>
            </w:pPr>
          </w:p>
        </w:tc>
        <w:tc>
          <w:tcPr>
            <w:tcW w:w="380" w:type="dxa"/>
            <w:vAlign w:val="bottom"/>
            <w:shd w:val="clear" w:color="auto" w:fill="CFF0FC"/>
          </w:tcPr>
          <w:p>
            <w:pPr>
              <w:spacing w:after="0"/>
              <w:rPr>
                <w:sz w:val="4"/>
                <w:szCs w:val="4"/>
                <w:color w:val="auto"/>
              </w:rPr>
            </w:pPr>
          </w:p>
        </w:tc>
        <w:tc>
          <w:tcPr>
            <w:tcW w:w="1580" w:type="dxa"/>
            <w:vAlign w:val="bottom"/>
            <w:shd w:val="clear" w:color="auto" w:fill="CFF0FC"/>
          </w:tcPr>
          <w:p>
            <w:pPr>
              <w:spacing w:after="0"/>
              <w:rPr>
                <w:sz w:val="4"/>
                <w:szCs w:val="4"/>
                <w:color w:val="auto"/>
              </w:rPr>
            </w:pPr>
          </w:p>
        </w:tc>
        <w:tc>
          <w:tcPr>
            <w:tcW w:w="340" w:type="dxa"/>
            <w:vAlign w:val="bottom"/>
            <w:shd w:val="clear" w:color="auto" w:fill="CFF0FC"/>
          </w:tcPr>
          <w:p>
            <w:pPr>
              <w:spacing w:after="0"/>
              <w:rPr>
                <w:sz w:val="4"/>
                <w:szCs w:val="4"/>
                <w:color w:val="auto"/>
              </w:rPr>
            </w:pPr>
          </w:p>
        </w:tc>
        <w:tc>
          <w:tcPr>
            <w:tcW w:w="156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tcPr>
          <w:p>
            <w:pPr>
              <w:spacing w:after="0"/>
              <w:rPr>
                <w:sz w:val="20"/>
                <w:szCs w:val="20"/>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1"/>
              </w:rPr>
              <w:t>(212 )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1"/>
              </w:rPr>
              <w:t>(315 )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4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3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useful life amounts)</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Amortizing:</w:t>
            </w:r>
          </w:p>
        </w:tc>
        <w:tc>
          <w:tcPr>
            <w:tcW w:w="116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tcPr>
          <w:p>
            <w:pPr>
              <w:spacing w:after="0"/>
              <w:rPr>
                <w:sz w:val="20"/>
                <w:szCs w:val="20"/>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1"/>
              </w:rPr>
              <w:t>(167 )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1"/>
              </w:rPr>
              <w:t>(248 )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-1446530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-1429385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-1446530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-1429385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8"/>
          <w:szCs w:val="18"/>
          <w:color w:val="auto"/>
        </w:rPr>
        <w:t>The Company recognized amortization expense related to intangible assets of $0.1 million and $46,000 for the three months ended March 31, 2024 and 2023, respectively.</w:t>
      </w:r>
    </w:p>
    <w:p>
      <w:pPr>
        <w:spacing w:after="0" w:line="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Amortization expense related to intangible assets at March 31, 2024 in each of the next five years and beyond is expected to be incurred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9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20" w:type="dxa"/>
            <w:vAlign w:val="bottom"/>
            <w:gridSpan w:val="2"/>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CFF"/>
          </w:tcPr>
          <w:p>
            <w:pPr>
              <w:spacing w:after="0"/>
              <w:rPr>
                <w:sz w:val="20"/>
                <w:szCs w:val="20"/>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r>
      <w:tr>
        <w:trPr>
          <w:trHeight w:val="247"/>
        </w:trPr>
        <w:tc>
          <w:tcPr>
            <w:tcW w:w="9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CFF"/>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r>
      <w:tr>
        <w:trPr>
          <w:trHeight w:val="247"/>
        </w:trPr>
        <w:tc>
          <w:tcPr>
            <w:tcW w:w="9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CFF"/>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r>
      <w:tr>
        <w:trPr>
          <w:trHeight w:val="276"/>
        </w:trPr>
        <w:tc>
          <w:tcPr>
            <w:tcW w:w="90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income tax provision is calculated for an interim period by distinguishing between elements recognized in the income tax provision through applying an estimated annual effective tax rate to a measure of year-to-date operating results referred to as “ordinary income (or loss),” and discretely recognizing specific events referred to as “discrete items” as they occur. The Company’s effective tax rates for the three months ended March 31, 2024, and 2023 differ from the federal statutory rate of 21% principally as a result of valuation allowances expected to be maintained against the Company’s deferred tax assets. The Company did not record income tax expense for the three months ended March 31, 2024 or 2023.</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2023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and in Part I, Item 1A, “Risk Factors” in the 2023 Annual Report. Additionally, our historical results are not necessarily indicative of the results that may be expected for any period in the future. Unless otherwise indicated or the context otherwise requires, references in this section to “we,” “our,” “us,” “the Company” or other similar terms refer to the business and operations of Tigo Energy, Inc. and its subsidiaries prior to the Business Combination (“Legacy Tigo”) and Tigo Energy Inc. following the consummation of the Business Combination. References to “ROCG” refer to Roth CH Acquisition IV Co. prior to the consummation of the Business Combination.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6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Demand for Products</w:t>
      </w:r>
      <w:r>
        <w:rPr>
          <w:rFonts w:ascii="Times New Roman" w:cs="Times New Roman" w:eastAsia="Times New Roman" w:hAnsi="Times New Roman"/>
          <w:sz w:val="18"/>
          <w:szCs w:val="18"/>
          <w:color w:val="auto"/>
        </w:rPr>
        <w:t>. The demand for our products in Europe and the United States experienced a notable slowdown beginning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in 2023 and continued into the first quarter of 2024. In Europe, the slowdown was primarily due to elevated inventory levels with distributors and an overall channel inventory correction as they responded to a slower demand environment. Additionally, there has been uncertainty surrounding the net energy metering policies and solar export penalties in the European markets, such as Germany, Belgium, Italy and the United Kingdom, which also contributed to the overall slowdown in demand in Europe. In the United States, the slowdown was primarily attributable due to higher interest rates than recent prior periods and the transition from the second iteration of net metering (“NEM 2.0”) to the third iteration of net metering (“NEM 3.0”) in California. The factors noted above have led to elevated inventory levels with distributors and installers in both regions. Given these factors, revenues have been, and may continue to be, adversely affected in 2024.</w:t>
      </w:r>
    </w:p>
    <w:p>
      <w:pPr>
        <w:spacing w:after="0" w:line="1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response to the factors noted above, we reduced staffing levels across all geographies in December 2023 by approximately 15%, and in April 2024 by approximately 10%. As a result, we expect to reduce cash expenditures associated with the reduction of personnel costs by approximately $7.3 million in 2024.</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Unfavorable Macroeconomic and Market Conditions. </w:t>
      </w:r>
      <w:r>
        <w:rPr>
          <w:rFonts w:ascii="Times New Roman" w:cs="Times New Roman" w:eastAsia="Times New Roman" w:hAnsi="Times New Roman"/>
          <w:sz w:val="18"/>
          <w:szCs w:val="18"/>
          <w:color w:val="auto"/>
        </w:rPr>
        <w:t>The global macroeconomic and market uncertainty, including higher interest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has caused disruptions in financial markets and may continue to have an adverse effect on the U.S. and world economies. Since the second quarter of 2023, we have experienced a significant number of customer requests to delay purchase order deliveries and a smaller number of purchase order cancellations and returns. Other customers may decide to delay purchasing our products and services or not purchase at all. A tighter credit market for consumer and business spending could, in turn, adversely affect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Managing Supply Chain</w:t>
      </w:r>
      <w:r>
        <w:rPr>
          <w:rFonts w:ascii="Times New Roman" w:cs="Times New Roman" w:eastAsia="Times New Roman" w:hAnsi="Times New Roman"/>
          <w:sz w:val="18"/>
          <w:szCs w:val="18"/>
          <w:color w:val="auto"/>
        </w:rPr>
        <w:t>. We rely on contract manufacturers and suppliers to produce our components. Our ability to grow depends, in part,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A significant portion of our supply chain originates in Thailand and China. In the event we are unable to mitigate the impact of delays and/or price increases in raw materials, electronic components and freight, it could delay the manufacturing and delivery of our products, which would adversely impact our cash flows and results of operations, including revenue and gross margin. In addition, in a slowing economic environment, our inventory levels may continue to increase due to existing purchase commitments and our ability to negotiate volume pricing discounts may be impaired.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7" w:name="page28"/>
    <w:bookmarkEnd w:id="27"/>
    <w:p>
      <w:pPr>
        <w:jc w:val="both"/>
        <w:ind w:right="10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Expansion of Sales with Existing Customers and Adding New Customers. </w:t>
      </w:r>
      <w:r>
        <w:rPr>
          <w:rFonts w:ascii="Times New Roman" w:cs="Times New Roman" w:eastAsia="Times New Roman" w:hAnsi="Times New Roman"/>
          <w:sz w:val="17"/>
          <w:szCs w:val="17"/>
          <w:color w:val="auto"/>
        </w:rPr>
        <w:t>Our future revenue growth is, in part, dependent on our ability to expand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offerings and services in the U.S. residential market. In our North American market, revenue is generally generated from our product offerings and services in the commercial and industrial markets. In order to continue revenue growth, we plan to expand our presence in the residential market through offerings with residential solar providers. We also expect to continue to evaluate and invest in new market opportunities internationally. We believe that our entry into new markets will continue to facilitate revenue growth and customer diversification.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EMEA.</w:t>
      </w:r>
    </w:p>
    <w:p>
      <w:pPr>
        <w:spacing w:after="0" w:line="169"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Expansion of New Products and Services. </w:t>
      </w:r>
      <w:r>
        <w:rPr>
          <w:rFonts w:ascii="Times New Roman" w:cs="Times New Roman" w:eastAsia="Times New Roman" w:hAnsi="Times New Roman"/>
          <w:sz w:val="18"/>
          <w:szCs w:val="18"/>
          <w:color w:val="auto"/>
        </w:rPr>
        <w:t>We have made substantial investments in research and development and sales and marketing to achieve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position in our market and revenue growth. While a majority of our revenue is generated from the sale of our MLPE products, we intend to continue the development and promotion of our GO Energy Storage Systems (“GO ESS”) and Predict+ product and service lines.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security analysts, institutional investors, and other interested parties in analyzing operating performance and prospects.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these metrics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4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28.2 %</w:t>
            </w:r>
          </w:p>
        </w:tc>
        <w:tc>
          <w:tcPr>
            <w:tcW w:w="7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4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(9,088 )</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(11,506 )</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and Comparison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ind w:left="8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(40,256 )</w:t>
            </w:r>
          </w:p>
        </w:tc>
        <w:tc>
          <w:tcPr>
            <w:tcW w:w="4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revenue decreased by $40.3 million or 80.4% for the three months ended March 31, 2024, as compared to the same period in 2023, primarily due to the solar industry experiencing a broad-based slowdown in both the U.S. and European markets, that resulted in elevated inventory with distributors and installers, and as a result the overall demand for our products and services decreased as distributors and installers responded to this slower demand environment. In the Americas region, this slowdown was primarily the result of higher interest rates and the transition from NEM 2.0 to NEM 3.0 in California. In the EMEA region, this slowdown was primarily the result of a decrease in customer purchases in Europe after a surge of sales were realized in 2022 and going into the first half of 2023</w:t>
      </w: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due to higher energy prices in Europe related to the onset of the armed conflict in Ukraine in 2022, and overall channel inventory correction.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ind w:left="8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40,259</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(34,470 )</w:t>
            </w:r>
          </w:p>
        </w:tc>
        <w:tc>
          <w:tcPr>
            <w:tcW w:w="4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(85.6 )%</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(4,243 )</w:t>
            </w:r>
          </w:p>
        </w:tc>
        <w:tc>
          <w:tcPr>
            <w:tcW w:w="4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(60.8 )%</w:t>
            </w: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(1,543 )</w:t>
            </w:r>
          </w:p>
        </w:tc>
        <w:tc>
          <w:tcPr>
            <w:tcW w:w="4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(54.8 )%</w:t>
            </w:r>
          </w:p>
        </w:tc>
      </w:tr>
      <w:tr>
        <w:trPr>
          <w:trHeight w:val="20"/>
        </w:trPr>
        <w:tc>
          <w:tcPr>
            <w:tcW w:w="4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(40,256 )</w:t>
            </w:r>
          </w:p>
        </w:tc>
        <w:tc>
          <w:tcPr>
            <w:tcW w:w="4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(80.4 )%</w:t>
            </w:r>
          </w:p>
        </w:tc>
      </w:tr>
      <w:tr>
        <w:trPr>
          <w:trHeight w:val="20"/>
        </w:trPr>
        <w:tc>
          <w:tcPr>
            <w:tcW w:w="4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ind w:left="1020" w:right="10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 Net revenue for the EMEA region decreased by $34.5 million or 85.6% for the three months ended March 31, 2024, as compared to the same period in 2023, primarily due to a slowdown in demand in the region due to elevated inventory levels at distributors and installers.</w:t>
      </w:r>
    </w:p>
    <w:p>
      <w:pPr>
        <w:spacing w:after="0" w:line="54" w:lineRule="exact"/>
        <w:rPr>
          <w:rFonts w:ascii="Times New Roman" w:cs="Times New Roman" w:eastAsia="Times New Roman" w:hAnsi="Times New Roman"/>
          <w:sz w:val="18"/>
          <w:szCs w:val="18"/>
          <w:color w:val="auto"/>
        </w:rPr>
      </w:pPr>
    </w:p>
    <w:p>
      <w:pPr>
        <w:jc w:val="both"/>
        <w:ind w:left="1020" w:right="10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 Net revenue for the Americas region decreased $4.2 million or 60.8% for the three months ended March 31, 2024, as compared to the same period in 2023, primarily due to demand for our solutions slowing as a result of higher interest rates impacting customers’ investment decisions and the transition from NEM 2.0 to NEM 3.0 in California.</w:t>
      </w:r>
    </w:p>
    <w:p>
      <w:pPr>
        <w:spacing w:after="0" w:line="69"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APAC - Net revenue for the APAC region decreased $1.5 million or 54.8% for the three months ended March 31, 2024, as compared to the same period in 2023, primarily due to a 79.8% decline in sales in China.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4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(24,653 )</w:t>
            </w: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0" w:type="dxa"/>
            <w:vAlign w:val="bottom"/>
          </w:tcPr>
          <w:p>
            <w:pPr>
              <w:spacing w:after="0"/>
              <w:rPr>
                <w:sz w:val="1"/>
                <w:szCs w:val="1"/>
                <w:color w:val="auto"/>
              </w:rPr>
            </w:pP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(15,603 )</w:t>
            </w:r>
          </w:p>
        </w:tc>
        <w:tc>
          <w:tcPr>
            <w:tcW w:w="2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0" w:type="dxa"/>
            <w:vAlign w:val="bottom"/>
          </w:tcPr>
          <w:p>
            <w:pPr>
              <w:spacing w:after="0"/>
              <w:rPr>
                <w:sz w:val="1"/>
                <w:szCs w:val="1"/>
                <w:color w:val="auto"/>
              </w:rPr>
            </w:pPr>
          </w:p>
        </w:tc>
      </w:tr>
      <w:tr>
        <w:trPr>
          <w:trHeight w:val="404"/>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28.2 %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36.7 %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-833120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Cost of revenue decreased by $24.7 million or 77.8% and gross profit decreased by $15.6 million or 84.9% for the three months ended March 31, 2024, as compared to the same period in 2023, primarily due to an 80.4% decrease in net revenue for the three months ended March 31, 2024 compared to the same period in 2023.</w:t>
      </w:r>
    </w:p>
    <w:p>
      <w:pPr>
        <w:spacing w:after="0" w:line="177"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Gross margin decreased by 8.5% for the three months ended March 31, 2024, as compared to the same period in 2023, primarily due to sales promotions and discounts related to the Company’s GO ESS product 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8"/>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ind w:left="8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3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3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25.2 %</w:t>
            </w: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4.4 %</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 increased by $0.3 million or 11.6% for the three months ended March 31, 2024, as compared to the same period in 2023. Research and development expense as percentage of net revenue increased to 25.2% for the three months ended March 31, 2024, compared to 4.4% for the same period in 2023. The overall increase was primarily driven by higher personnel-related expenses attributable to higher personnel-related stock-based compensation expenses, in addition to an increase in consulting</w:t>
      </w:r>
    </w:p>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expense. The amount of research and development expenses may fluctuate from period to period due to differing levels and stages of development activity.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ind w:left="8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3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3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(169 )</w:t>
            </w:r>
          </w:p>
        </w:tc>
        <w:tc>
          <w:tcPr>
            <w:tcW w:w="4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47.0 %</w:t>
            </w: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9.5 %</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Sales and marketing expense remained consistent for the three months ended March 31, 2024, as compared to the same period in 2023. Sales and marketing expense as a percentage of net revenue increased by 37.5% primarily due to a decrease in net revenues for the three months ending March 31, 2024 compared to the same period in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8"/>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ind w:left="8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3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3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48.8 %</w:t>
            </w: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7.1 %</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 increased by $1.2 million or 34.2% for the three months ended March 31, 2024, as compared to the same period in 2023. The increase was primarily related to higher personnel-related stock-based compensation expenses, and an increase in professional fees, which is attributable to higher audit fees and legal expenses.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52"/>
        </w:trPr>
        <w:tc>
          <w:tcPr>
            <w:tcW w:w="4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04"/>
        </w:trPr>
        <w:tc>
          <w:tcPr>
            <w:tcW w:w="47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Change in fair value of preferred stock warrant and contingent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(708 )</w:t>
            </w:r>
          </w:p>
        </w:tc>
        <w:tc>
          <w:tcPr>
            <w:tcW w:w="4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(171 )</w:t>
            </w:r>
          </w:p>
        </w:tc>
        <w:tc>
          <w:tcPr>
            <w:tcW w:w="4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263.2 %</w:t>
            </w: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(212 )</w:t>
            </w:r>
          </w:p>
        </w:tc>
        <w:tc>
          <w:tcPr>
            <w:tcW w:w="2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(551 )</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(61.5 )%</w:t>
            </w: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165.7 %</w:t>
            </w: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290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11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Change in fair value of preferred stock warrant and contingent shares liability decreased by $0.7 million or 138.3% for the three months ended March 31, 2024, as compared to the same period in 2023, primarily due to a decrease in mark-to-market expense associated with the contingent shares related to the fSight acquisition.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loss on debt extinguishment for the three months ended March 31, 2023, is primarily related to the repayment of our Series 2022-1 Notes.</w:t>
      </w:r>
    </w:p>
    <w:p>
      <w:pPr>
        <w:spacing w:after="0" w:line="225"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Interest expense increased by $2.0 million or 263.2% for the three months ended March 31, 2024, as compared to the same period in 2023. This increase is primarily due to the amortization of the debt discount of $23.5 million that was recorded upon the bifurcation of the conversion options at the time of the Business Combination. Please see Note 9, “Long-Term Debt,” of the notes to condensed consolidated financial statements included in Part I, Item 1 of this Quarterly Report on Form 10-Q for additional information on the conversion options.</w:t>
      </w:r>
    </w:p>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0" w:name="page31"/>
    <w:bookmarkEnd w:id="30"/>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Other income, net decreased $0.3 million or 61.5% for the three months ended March 31, 2024, as compared to the same period in 2023. This decrease is primarily due to a decrease in interest income from the Company’s marketable securities, as the underlying asset base generating interest income decreased during the three months ended March 31, 2024 compared to the same period in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and marketable securities. As of March 31, 2024, the Company held $21.9 million in cash, cash equivalents and marketable securities which were held primarily for working capital purposes. Our working capital, which we define as current assets less current liabilities, decreased by $4.1 million to $74.2 million as March 31, 2024 compared to $78.3 million as of December 31, 2023. The decrease in working capital during this period is primarily attributable to lower marketable securities and inventory balances, and is partially offset by a decrease in accounts payable and accrued expenses and other current liabilities. During the first quarter of 2024, revenues stabilized on a sequential quarter basis but declined on a year over year basis. While we have been actively working on reducing our inventory levels, these efforts will depend on our ability to increase future quarterly revenues, maintain a minimal level of inventory purchases with suppliers, and our ability to recover the book value of inventory. In the first quarter of 2024, we reduced our inventory levels by $5.6 million from December 31, 2023, and expect lower inventory levels and positive working capital cash conversion throughout the remainder of 2024. We believe that our cash position is sufficient to meet our capital and liquidity requirements for at least the next 12 months from the date of this Quarterly Report on Form 10-Q.</w:t>
      </w:r>
    </w:p>
    <w:p>
      <w:pPr>
        <w:spacing w:after="0" w:line="19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our ability to sustain operations and invest in new technologies may necessitate seeking additional equity or debt financing. Our capital needs will be influenced by several factors, including our revenue growth rate, the success of our future product development and capital investments, and the timing and extent of spending to support further sales and marketing and research and development efforts. In addition, we have incurred and expect to continue to incur additional costs as a result of operating as a public company. In the event that additional financing is required from outside sources, we cannot be certain that any additional financing will be available to us on acceptable terms, or at all. If we are required but unable to raise additional capital or generate cash flows to sustain or expand our business, our business, operating results, and financial condition could be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36"/>
        </w:trPr>
        <w:tc>
          <w:tcPr>
            <w:tcW w:w="6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(11,266 )</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(5,087 )</w:t>
            </w:r>
          </w:p>
        </w:tc>
      </w:tr>
      <w:tr>
        <w:trPr>
          <w:trHeight w:val="23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(10,655 )</w:t>
            </w:r>
          </w:p>
        </w:tc>
      </w:tr>
      <w:tr>
        <w:trPr>
          <w:trHeight w:val="243"/>
        </w:trPr>
        <w:tc>
          <w:tcPr>
            <w:tcW w:w="6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440" w:type="dxa"/>
            <w:vAlign w:val="bottom"/>
          </w:tcPr>
          <w:p>
            <w:pPr>
              <w:spacing w:after="0"/>
              <w:rPr>
                <w:sz w:val="20"/>
                <w:szCs w:val="20"/>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-187960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interest rates, inflation or the supply chain, including timing of cash collections from customers and other risks which are detailed in the section entitled “Cautionary Note Regarding Forward-Looking Statements” included elsewhere in this Quarterly Report on Form 10-Q and in Part I, Item 1A, “Risk Factors” in the 2023 Annual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cash flows consists primarily of net loss adjusted for certain non-cash items and changes in operating assets and liabilities. Cash used in operating activities increased by $6.2 million for the three months ended March 31, 2024, as compared to the same period in 2023, which was primarily driven by a higher net loss in the first quarter of 2024 compared to the same period in 2023, which is a result of the negative macroeconomic factors that are noted above. The increase in net cash used in operating activities was partially offset by increases in non-cash expenses related to stock-based compensation and accretion of interest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increased by $26.3 million for the three months ended March 31, 2024, compared to the same period in 2023, primarily due to the proceeds from the sale and maturities of a portion of the Company’s marketable securities.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decreased by $28.4 million in the three months ended March 31, 2024, compared to the same period in 2023. For the three months ended March 31, 2024, we received proceeds of $0.3 from the exercise of stock options by employees. For the three months ended March 31, 2023, we received proceeds of $50.0 million from the Convertible Promissory Note, which was partially offset by the $20.8 million repayment of the Series 2022-1 Notes.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contractual obligations primarily consist of our Convertible Promissory Note, obligations under operating leases and inventory component purchases. As of March 31, 2024, there have been no material changes from our disclosure in our 2023 Annual Report. For more information on our future minimum operating leases, see Note 13, “Leases” and for more information on our Convertible Promissory Notes and other related debt, see Note 9, “Long-Term Debt,” of the notes to condensed consolidated financial statements included in Part I, Item 1 of this Quarterly Report on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periods presented, the Company did not have any off-balance sheet arrangements.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For the period ended March 31, 2024, there have been no material changes to our critical accounting estimates from the information reported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(the “Exchange Act”), the Company is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of March 31, 2024, as defined in Rules 13a-15(e) and 15d-15(e) under the Securities Exchange Act of 1934, as amended (the “Exchange Act”).</w:t>
      </w:r>
    </w:p>
    <w:p>
      <w:pPr>
        <w:spacing w:after="0" w:line="17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March 31, 2024.</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March 31, 2024,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the section entitled “Risk Factors” in Part I, Item 1A, of the Company’s 2023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90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5"/>
                <w:szCs w:val="15"/>
                <w:color w:val="auto"/>
              </w:rPr>
            </w:pPr>
          </w:p>
        </w:tc>
        <w:tc>
          <w:tcPr>
            <w:tcW w:w="8960" w:type="dxa"/>
            <w:vAlign w:val="bottom"/>
            <w:tcBorders>
              <w:bottom w:val="single" w:sz="8" w:color="0000FF"/>
            </w:tcBorders>
            <w:gridSpan w:val="11"/>
          </w:tcPr>
          <w:p>
            <w:pPr>
              <w:spacing w:after="0" w:line="17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Second Amended and Restated Certificate of Incorporation of Tigo Energy, Inc. (incorporated by reference to Exhibit 3.1 to</w:t>
              </w:r>
            </w:hyperlink>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12"/>
          </w:tcPr>
          <w:p>
            <w:pPr>
              <w:spacing w:after="0" w:line="195"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the Company’s Current Report on Form 8-K, filed with the SEC on May 30, 2023).</w:t>
              </w:r>
            </w:hyperlink>
          </w:p>
        </w:tc>
      </w:tr>
      <w:tr>
        <w:trPr>
          <w:trHeight w:val="20"/>
        </w:trPr>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080" w:type="dxa"/>
            <w:vAlign w:val="bottom"/>
            <w:gridSpan w:val="12"/>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Amended and Restated Bylaws of Tigo Energy, Inc. (incorporated by reference to Exhibit 3.2 to the Company’s Current</w:t>
              </w:r>
            </w:hyperlink>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tcBorders>
              <w:top w:val="single" w:sz="8" w:color="0000FF"/>
            </w:tcBorders>
            <w:gridSpan w:val="8"/>
          </w:tcPr>
          <w:p>
            <w:pPr>
              <w:spacing w:after="0" w:line="195"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Report on Form 8-K, filed with the SEC on May 30, 2023)</w:t>
              </w:r>
              <w:r>
                <w:rPr>
                  <w:rFonts w:ascii="Times New Roman" w:cs="Times New Roman" w:eastAsia="Times New Roman" w:hAnsi="Times New Roman"/>
                  <w:sz w:val="18"/>
                  <w:szCs w:val="18"/>
                  <w:color w:val="000000"/>
                </w:rPr>
                <w:t>.</w:t>
              </w:r>
            </w:hyperlink>
          </w:p>
        </w:tc>
        <w:tc>
          <w:tcPr>
            <w:tcW w:w="40" w:type="dxa"/>
            <w:vAlign w:val="bottom"/>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400" w:type="dxa"/>
            <w:vAlign w:val="bottom"/>
            <w:gridSpan w:val="2"/>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Tigo Energy, Inc. Independent Director Compensation Policy.</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5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13a-14(a)/15d-14(a)</w:t>
            </w:r>
          </w:p>
        </w:tc>
        <w:tc>
          <w:tcPr>
            <w:tcW w:w="3460" w:type="dxa"/>
            <w:vAlign w:val="bottom"/>
            <w:gridSpan w:val="7"/>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r>
      <w:tr>
        <w:trPr>
          <w:trHeight w:val="20"/>
        </w:trPr>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5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13a-14(b)/15d-14(b)</w:t>
            </w:r>
          </w:p>
        </w:tc>
        <w:tc>
          <w:tcPr>
            <w:tcW w:w="3440" w:type="dxa"/>
            <w:vAlign w:val="bottom"/>
            <w:gridSpan w:val="6"/>
          </w:tcPr>
          <w:p>
            <w:pPr>
              <w:spacing w:after="0"/>
              <w:rPr>
                <w:sz w:val="18"/>
                <w:szCs w:val="18"/>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13a-14(b)/15d-14(b)</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80" w:type="dxa"/>
            <w:vAlign w:val="bottom"/>
            <w:gridSpan w:val="4"/>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0"/>
                <w:szCs w:val="20"/>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w:t>
            </w: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9"/>
                <w:szCs w:val="19"/>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160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Tigo Energy, Inc.</w:t>
      </w:r>
    </w:p>
    <w:p>
      <w:pPr>
        <w:spacing w:after="0" w:line="251"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Bill Roeschlein</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-125095</wp:posOffset>
            </wp:positionV>
            <wp:extent cx="32619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TIGO ENERGY,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DIRECTOR COMPENSATION POLICY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STOCK OWNERSHIP GUIDELINES</w:t>
      </w:r>
    </w:p>
    <w:p>
      <w:pPr>
        <w:jc w:val="center"/>
        <w:spacing w:after="0"/>
        <w:rPr>
          <w:sz w:val="20"/>
          <w:szCs w:val="20"/>
          <w:color w:val="auto"/>
        </w:rPr>
      </w:pPr>
      <w:r>
        <w:rPr>
          <w:rFonts w:ascii="Times New Roman" w:cs="Times New Roman" w:eastAsia="Times New Roman" w:hAnsi="Times New Roman"/>
          <w:sz w:val="20"/>
          <w:szCs w:val="20"/>
          <w:b w:val="1"/>
          <w:bCs w:val="1"/>
          <w:color w:val="auto"/>
        </w:rPr>
        <w:t>APPROVED JUNE 10, 2023; AMENDED APRIL 4, 2024</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Tigo Energy, Inc. (the “Company”) believes that the granting of cash and equity compensation to members of the Company’s Board of Directors (the “Board,” and members of the Board, “Directors”) represents an effective tool to attract, retain and reward Directors who are not employees of the Company (“Independent Directors”). This Independent Director Compensation Policy (the “Policy”) is intended to formalize the Company’s policy regarding cash compensation and grants of equity awards to its Independent Directors. Unless otherwise defined herein, capitalized terms used in this Policy will have the meaning given such term in the Tigo Energy, Inc. 2023 Equity Incentive Plan, as amended from time to time, or if such plan no longer is in use at the time of the grant of an equity award, the meaning given such term or similar term in the equity plan then in place under which the equity award is granted (the “Plan”). Each Independent Director will be solely responsible for any tax obligations incurred by such Independent Director as a result of the compensation such Independent Director receives under this Policy.</w:t>
      </w:r>
    </w:p>
    <w:p>
      <w:pPr>
        <w:spacing w:after="0" w:line="134" w:lineRule="exact"/>
        <w:rPr>
          <w:sz w:val="20"/>
          <w:szCs w:val="20"/>
          <w:color w:val="auto"/>
        </w:rPr>
      </w:pPr>
    </w:p>
    <w:p>
      <w:pPr>
        <w:jc w:val="both"/>
        <w:ind w:firstLine="8"/>
        <w:spacing w:after="0" w:line="250" w:lineRule="auto"/>
        <w:tabs>
          <w:tab w:leader="none" w:pos="50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Effective Date. </w:t>
      </w:r>
      <w:r>
        <w:rPr>
          <w:rFonts w:ascii="Times New Roman" w:cs="Times New Roman" w:eastAsia="Times New Roman" w:hAnsi="Times New Roman"/>
          <w:sz w:val="20"/>
          <w:szCs w:val="20"/>
          <w:color w:val="auto"/>
        </w:rPr>
        <w:t>This Policy will be deemed effective on May 23, 2023, the date of the consummation of the transactions contemplated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that certain Business Combination Agreement entered into by and among the Company, Roth Capital CH Acquisition IV, and certain other parties, dated December 5, 2022, as subsequently amended (such transactions, the “Merger,” such date of consummation of the Merger, the “Closing Date,” and the effective date of this Policy, the “Effective Date”).</w:t>
      </w:r>
    </w:p>
    <w:p>
      <w:pPr>
        <w:spacing w:after="0" w:line="120"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Compensation.</w:t>
      </w:r>
    </w:p>
    <w:p>
      <w:pPr>
        <w:spacing w:after="0" w:line="1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i w:val="1"/>
          <w:iCs w:val="1"/>
          <w:color w:val="auto"/>
        </w:rPr>
        <w:t>Board Member Annual Cash Retainer.</w:t>
      </w:r>
      <w:r>
        <w:rPr>
          <w:rFonts w:ascii="Times New Roman" w:cs="Times New Roman" w:eastAsia="Times New Roman" w:hAnsi="Times New Roman"/>
          <w:sz w:val="20"/>
          <w:szCs w:val="20"/>
          <w:color w:val="auto"/>
        </w:rPr>
        <w:t xml:space="preserve"> Following the Effective Date, each Independent Director will be paid an annual cash retainer of $60,000, paid in two semi-annual installments of $30,000 each (the “annual cash retainer”). There are no per-meeting attendance fees for attending Board meetings or meetings of any committee of the Board. Each Independent Director may elect to have the Company pay all or a portion of his or her cash retainer(s) in shares in lieu of cash. The number of shares issued shall be determined by dividing the dollar amount of the applicable retainer(s) by the fair market value of a share (based on the closing trading price of our Common Stock on the trading day immediately preceding the date of grant), rounded down to the nearest whole share. In no case shall any fractional shares be issued. In lieu of any fractional shares, Independent Directors shall be entitled to cash equal to the value of any fractional shares. Shares issued in lieu of cash shall be fully vested and unrestricted shares issued pursuant to the Company’s incentive compensation plan and shall be issued on the Annual Meeting date; provided, that if an Independent Director elects to receive shares for the first semi-annual installment, such issuance shall occur on the first business day following 30 days after making such election. In each case, if the shares cannot be delivered due to a Company blackout period, then the shares will be delivered on the first business day following the end of the blackout period. Any election by an Independent Director to receive his or her retainer(s) in shares must be made no later than the expiration of the election period established by the Compensation Committee and can only be made during a period in which the Company is not in a quarterly or special blackout period pursuant to the Company’s insider trading policy and at a time in which the director does not have material, non-public information. In the event that the Board determines there are not sufficient shares available under the Company’s equity incentive plans to pay the retainer in shares, the retainer shall be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i w:val="1"/>
          <w:iCs w:val="1"/>
          <w:color w:val="auto"/>
        </w:rPr>
        <w:t>Additional Annual Cash Retainers.</w:t>
      </w:r>
      <w:r>
        <w:rPr>
          <w:rFonts w:ascii="Times New Roman" w:cs="Times New Roman" w:eastAsia="Times New Roman" w:hAnsi="Times New Roman"/>
          <w:sz w:val="20"/>
          <w:szCs w:val="20"/>
          <w:color w:val="auto"/>
        </w:rPr>
        <w:t xml:space="preserve"> Following the Effective Date, each Independent Director who serves as the Non-Employee Chair of the Board, Lead Director, or the chair of a committee of the Board, will be paid additional annual fees in cash payments as follows (the “additional cash retainers”):</w:t>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25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Non-Employee Chair</w:t>
            </w:r>
          </w:p>
        </w:tc>
        <w:tc>
          <w:tcPr>
            <w:tcW w:w="11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$20,000</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Lead Independent Director</w:t>
            </w:r>
          </w:p>
        </w:tc>
        <w:tc>
          <w:tcPr>
            <w:tcW w:w="11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$20,000</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 Chair</w:t>
            </w:r>
          </w:p>
        </w:tc>
        <w:tc>
          <w:tcPr>
            <w:tcW w:w="11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$20,000</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 Chair</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bl>
    <w:p>
      <w:pPr>
        <w:spacing w:after="0" w:line="1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Nominating &amp; Governance Chair $10,000</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i w:val="1"/>
          <w:iCs w:val="1"/>
          <w:color w:val="auto"/>
        </w:rPr>
        <w:t>Payment Timing and Proration.</w:t>
      </w:r>
      <w:r>
        <w:rPr>
          <w:rFonts w:ascii="Times New Roman" w:cs="Times New Roman" w:eastAsia="Times New Roman" w:hAnsi="Times New Roman"/>
          <w:sz w:val="20"/>
          <w:szCs w:val="20"/>
          <w:color w:val="auto"/>
        </w:rPr>
        <w:t xml:space="preserve"> Each semi-annual payment of the annual cash retainer or additional cash retainers under this Policy will be paid in arrears on a prorated basis to each Independent Director who has served in the relevant capacity at any time during the immediately preceding two fiscal quarters of the Company (“Biannual Period”), and such payment will be made no later than 30 days following the end of such immediately preceding Biannual Period. For clarity, an Independent Director who has served during only a portion of the relevant Biannual Period will receive a prorated payment of the semi-annual payment of the applicable retainer(s), calculated based on the number of days during such Biannual Period such Independent Director has served in the relevant capacities. An Independent Director who has served from the Effective Date through the end of the Biannual Period containing the Effective Date (the “Initial Period”) will receive a prorated payment of the biannual installment of the applicable retainer(s), calculated based on the number of days during the Initial Period that such Independent Director has served in the relevant capacities.</w:t>
      </w:r>
    </w:p>
    <w:p>
      <w:pPr>
        <w:spacing w:after="0" w:line="129" w:lineRule="exact"/>
        <w:rPr>
          <w:sz w:val="20"/>
          <w:szCs w:val="20"/>
          <w:color w:val="auto"/>
        </w:rPr>
      </w:pPr>
    </w:p>
    <w:p>
      <w:pPr>
        <w:ind w:firstLine="8"/>
        <w:spacing w:after="0" w:line="272" w:lineRule="auto"/>
        <w:tabs>
          <w:tab w:leader="none" w:pos="50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Equity Compensation. </w:t>
      </w:r>
      <w:r>
        <w:rPr>
          <w:rFonts w:ascii="Times New Roman" w:cs="Times New Roman" w:eastAsia="Times New Roman" w:hAnsi="Times New Roman"/>
          <w:sz w:val="20"/>
          <w:szCs w:val="20"/>
          <w:color w:val="auto"/>
        </w:rPr>
        <w:t>All grants of awards to Independent Directors pursuant to Sections 3.2 and 3.3 of this Policy will be automatic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nondiscretionary, except as otherwise provided herein, and will be made in accordance with the following provisions:</w:t>
      </w:r>
    </w:p>
    <w:p>
      <w:pPr>
        <w:spacing w:after="0" w:line="9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i w:val="1"/>
          <w:iCs w:val="1"/>
          <w:color w:val="auto"/>
        </w:rPr>
        <w:t>No Discretion.</w:t>
      </w:r>
      <w:r>
        <w:rPr>
          <w:rFonts w:ascii="Times New Roman" w:cs="Times New Roman" w:eastAsia="Times New Roman" w:hAnsi="Times New Roman"/>
          <w:sz w:val="20"/>
          <w:szCs w:val="20"/>
          <w:color w:val="auto"/>
        </w:rPr>
        <w:t xml:space="preserve"> No person will have any discretion to select which Independent Directors will be granted Awards under this Policy or to determine the number of Shares to be covered by such Awards (except as provided in Sections 3.3.2 and 7 below).</w:t>
      </w:r>
    </w:p>
    <w:p>
      <w:pPr>
        <w:spacing w:after="0" w:line="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i w:val="1"/>
          <w:iCs w:val="1"/>
          <w:color w:val="auto"/>
        </w:rPr>
        <w:t>Initial Award.</w:t>
      </w:r>
      <w:r>
        <w:rPr>
          <w:rFonts w:ascii="Times New Roman" w:cs="Times New Roman" w:eastAsia="Times New Roman" w:hAnsi="Times New Roman"/>
          <w:sz w:val="20"/>
          <w:szCs w:val="20"/>
          <w:color w:val="auto"/>
        </w:rPr>
        <w:t xml:space="preserve"> On the first Trading Day immediately following (1) the effectiveness of the Company’s registration statement on Form S-8 following the Effective Date, and (2) thereafter, with respect to any Independent Director who is a new Independent Director, at each Annual Meeting of the Company’s stockholders (an “Annual Meeting”) (in the case of a new Independent Director that is elected at an Annual Meeting) or on the second Tuesday that is the first Trading Day immediately following the appointment to the board (in the case of a new Independent Director that is not elected at an Annual Meeting), such Independent Director will be automatically will be granted an award of Restricted Stock Units (an “Initial Award”) that will have a Value of $187,500 (with the number of Shares subject to the Initial Award rounded to the nearest whole Share). The Initial Award will vest as to 100% of the Restricted Stock Units on the first anniversary of the date the Initial Award is granted, subject to the Independent Director remaining a Service Provider through such vesting date.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i w:val="1"/>
          <w:iCs w:val="1"/>
          <w:color w:val="auto"/>
        </w:rPr>
        <w:t>Annual Award.</w:t>
      </w:r>
      <w:r>
        <w:rPr>
          <w:rFonts w:ascii="Times New Roman" w:cs="Times New Roman" w:eastAsia="Times New Roman" w:hAnsi="Times New Roman"/>
          <w:sz w:val="20"/>
          <w:szCs w:val="20"/>
          <w:color w:val="auto"/>
        </w:rPr>
        <w:t xml:space="preserve"> On the first Trading Day immediately following each Annual Meeting of the Company’s stockholders (an “Annual Meeting”) that occurs after the Effective Date, each Independent Director automatically will be granted an Award of Restricted Stock Units (an “Annual Award” and, together with the Initial Award, and “Award”)) that will have a Value of $125,000 (with the number of</w:t>
      </w:r>
    </w:p>
    <w:p>
      <w:pPr>
        <w:spacing w:after="0" w:line="200" w:lineRule="exact"/>
        <w:rPr>
          <w:sz w:val="20"/>
          <w:szCs w:val="20"/>
          <w:color w:val="auto"/>
        </w:rPr>
      </w:pPr>
    </w:p>
    <w:p>
      <w:pPr>
        <w:spacing w:after="0" w:line="2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20"/>
          <w:szCs w:val="20"/>
          <w:color w:val="auto"/>
        </w:rPr>
        <w:t>Shares subject to the Annual Award rounded to the nearest whole Share). The Annual Award will vest as to 100% of the Restricted Stock Units immediately prior to the Annual Meeting following the grant of such Annual Award, subject to the Independent Director remaining a Service Provider through such vesting date.</w:t>
      </w:r>
    </w:p>
    <w:p>
      <w:pPr>
        <w:spacing w:after="0" w:line="1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i w:val="1"/>
          <w:iCs w:val="1"/>
          <w:color w:val="auto"/>
        </w:rPr>
        <w:t xml:space="preserve">Additional Terms of Awards. </w:t>
      </w:r>
      <w:r>
        <w:rPr>
          <w:rFonts w:ascii="Times New Roman" w:cs="Times New Roman" w:eastAsia="Times New Roman" w:hAnsi="Times New Roman"/>
          <w:sz w:val="19"/>
          <w:szCs w:val="19"/>
          <w:color w:val="auto"/>
        </w:rPr>
        <w:t>The terms and conditions of Awards will be as follows.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3.4.1 Each Award will be granted under and subject to the terms and conditions of the Plan and the applicable form of award agreement approved by the Board or its Committee (as defined below), as applicable, for use thereunder.</w:t>
      </w:r>
    </w:p>
    <w:p>
      <w:pPr>
        <w:spacing w:after="0" w:line="10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3.4.2 The Board or its Committee, as applicable and in its discretion, may change and otherwise revise the terms of Awards to be granted in the future pursuant to this Policy, including without limitation the number of Shares subject thereto and type of Award.</w:t>
      </w:r>
    </w:p>
    <w:p>
      <w:pPr>
        <w:spacing w:after="0" w:line="103" w:lineRule="exact"/>
        <w:rPr>
          <w:sz w:val="20"/>
          <w:szCs w:val="20"/>
          <w:color w:val="auto"/>
        </w:rPr>
      </w:pPr>
    </w:p>
    <w:p>
      <w:pPr>
        <w:jc w:val="both"/>
        <w:ind w:firstLine="8"/>
        <w:spacing w:after="0" w:line="245" w:lineRule="auto"/>
        <w:tabs>
          <w:tab w:leader="none" w:pos="50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Annual Compensation Limit. </w:t>
      </w:r>
      <w:r>
        <w:rPr>
          <w:rFonts w:ascii="Times New Roman" w:cs="Times New Roman" w:eastAsia="Times New Roman" w:hAnsi="Times New Roman"/>
          <w:sz w:val="20"/>
          <w:szCs w:val="20"/>
          <w:color w:val="auto"/>
        </w:rPr>
        <w:t>No Independent Director may be granted, in any Fiscal Year, equity awards (including any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granted under the Plan) with values (based on their grant date fair value determined in accordance with U.S. Generally Accepted Accounting Principles), and be provided any other compensation (including without limitation any cash retainers or fees) in amounts that, in any Fiscal Year, in the aggregate, exceed $750,000. Any Awards or other compensation provided to an individual (a) for his or her services as an Employee, or for his or her services as a Consultant other than as an Independent Director, or (b) prior to the Closing Date, will be excluded for purposes of this Section 4.</w:t>
      </w:r>
    </w:p>
    <w:p>
      <w:pPr>
        <w:spacing w:after="0" w:line="128" w:lineRule="exact"/>
        <w:rPr>
          <w:rFonts w:ascii="Times New Roman" w:cs="Times New Roman" w:eastAsia="Times New Roman" w:hAnsi="Times New Roman"/>
          <w:sz w:val="20"/>
          <w:szCs w:val="20"/>
          <w:color w:val="auto"/>
        </w:rPr>
      </w:pPr>
    </w:p>
    <w:p>
      <w:pPr>
        <w:jc w:val="both"/>
        <w:ind w:firstLine="8"/>
        <w:spacing w:after="0" w:line="255" w:lineRule="auto"/>
        <w:tabs>
          <w:tab w:leader="none" w:pos="50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Travel Expenses. </w:t>
      </w:r>
      <w:r>
        <w:rPr>
          <w:rFonts w:ascii="Times New Roman" w:cs="Times New Roman" w:eastAsia="Times New Roman" w:hAnsi="Times New Roman"/>
          <w:sz w:val="20"/>
          <w:szCs w:val="20"/>
          <w:color w:val="auto"/>
        </w:rPr>
        <w:t>Each Independent Director’s reasonable, customary and properly documented travel expenses to meetings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Board and any of its committees, as applicable, will be reimbursed by the Company. Directors using personal aircraft or private air carrier will be reimbursed fort such expenses at a rate equivalent to a first-class airfare of scheduled carriers.</w:t>
      </w:r>
    </w:p>
    <w:p>
      <w:pPr>
        <w:spacing w:after="0" w:line="116" w:lineRule="exact"/>
        <w:rPr>
          <w:rFonts w:ascii="Times New Roman" w:cs="Times New Roman" w:eastAsia="Times New Roman" w:hAnsi="Times New Roman"/>
          <w:sz w:val="20"/>
          <w:szCs w:val="20"/>
          <w:color w:val="auto"/>
        </w:rPr>
      </w:pPr>
    </w:p>
    <w:p>
      <w:pPr>
        <w:jc w:val="both"/>
        <w:ind w:firstLine="8"/>
        <w:spacing w:after="0" w:line="243" w:lineRule="auto"/>
        <w:tabs>
          <w:tab w:leader="none" w:pos="50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Section 409A. </w:t>
      </w:r>
      <w:r>
        <w:rPr>
          <w:rFonts w:ascii="Times New Roman" w:cs="Times New Roman" w:eastAsia="Times New Roman" w:hAnsi="Times New Roman"/>
          <w:sz w:val="20"/>
          <w:szCs w:val="20"/>
          <w:color w:val="auto"/>
        </w:rPr>
        <w:t>In no event will cash compensation or expense reimbursement payments under this Policy be paid after the later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15th day of the 3rd month following the end of the Company’s taxable year in which the compensation is earned or expenses are incurred, as applicable, or (b) the 15th day of the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Independent Director (or any other person) for any taxes imposed, or other costs incurred, as a result of Section 409A.</w:t>
      </w:r>
    </w:p>
    <w:p>
      <w:pPr>
        <w:spacing w:after="0" w:line="129" w:lineRule="exact"/>
        <w:rPr>
          <w:rFonts w:ascii="Times New Roman" w:cs="Times New Roman" w:eastAsia="Times New Roman" w:hAnsi="Times New Roman"/>
          <w:sz w:val="20"/>
          <w:szCs w:val="20"/>
          <w:color w:val="auto"/>
        </w:rPr>
      </w:pPr>
    </w:p>
    <w:p>
      <w:pPr>
        <w:jc w:val="both"/>
        <w:ind w:firstLine="8"/>
        <w:spacing w:after="0" w:line="244" w:lineRule="auto"/>
        <w:tabs>
          <w:tab w:leader="none" w:pos="50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Revisions. </w:t>
      </w:r>
      <w:r>
        <w:rPr>
          <w:rFonts w:ascii="Times New Roman" w:cs="Times New Roman" w:eastAsia="Times New Roman" w:hAnsi="Times New Roman"/>
          <w:sz w:val="20"/>
          <w:szCs w:val="20"/>
          <w:color w:val="auto"/>
        </w:rPr>
        <w:t>The Board or any committee of the Board that has been designated appropriate authority with respect to Independent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 compensation (or with respect to any applicable element or elements thereof, authority with respect to such element or elements) (the “Committee”) may amend, alter, suspend or terminate this Policy at any time and for any reason. Further, the Board may provide for cash, equity, or other compensation to Independent Directors in addition to the compensation provided under this Policy. No amendment, alteration, suspension or termination of this Policy will materially impair the rights of an Independent Director with respect to compensation that already has been paid or awarded, unless otherwise mutually agreed between the Independent Director and the Company. Termination of this Policy will not affect the Board’s or the Committee’s ability to exercise the powers granted to it with respect to Awards</w:t>
      </w:r>
    </w:p>
    <w:p>
      <w:pPr>
        <w:spacing w:after="0" w:line="200" w:lineRule="exact"/>
        <w:rPr>
          <w:sz w:val="20"/>
          <w:szCs w:val="20"/>
          <w:color w:val="auto"/>
        </w:rPr>
      </w:pPr>
    </w:p>
    <w:p>
      <w:pPr>
        <w:spacing w:after="0" w:line="2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20"/>
          <w:szCs w:val="20"/>
          <w:color w:val="auto"/>
        </w:rPr>
        <w:t>granted under the Plan pursuant to this Policy before the date of such termination, including without limitation such applicable powers set forth in the Plan.</w:t>
      </w:r>
    </w:p>
    <w:p>
      <w:pPr>
        <w:spacing w:after="0" w:line="103"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Ownership Guidelines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i w:val="1"/>
          <w:iCs w:val="1"/>
          <w:color w:val="auto"/>
        </w:rPr>
        <w:t>Required Ownership.</w:t>
      </w:r>
      <w:r>
        <w:rPr>
          <w:rFonts w:ascii="Times New Roman" w:cs="Times New Roman" w:eastAsia="Times New Roman" w:hAnsi="Times New Roman"/>
          <w:sz w:val="20"/>
          <w:szCs w:val="20"/>
          <w:color w:val="auto"/>
        </w:rPr>
        <w:t xml:space="preserve"> Each Independent Director shall own Common Stock of the Company with a value equal to five (5) times the annual cash retainer. Until the applicable ownership level is achieved, Independent Directors must retain 100 percent of Common Stock issued pursuant to Awards granted as compensation from the Company (i.e., after applicable tax withholding and amounts required to pay exercise prices). Independent Directors are required to achieve the applicable level of ownership within five (5) years of the date such individual has become a Director</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i w:val="1"/>
          <w:iCs w:val="1"/>
          <w:color w:val="auto"/>
        </w:rPr>
        <w:t>Determining Ownership.</w:t>
      </w:r>
      <w:r>
        <w:rPr>
          <w:rFonts w:ascii="Times New Roman" w:cs="Times New Roman" w:eastAsia="Times New Roman" w:hAnsi="Times New Roman"/>
          <w:sz w:val="20"/>
          <w:szCs w:val="20"/>
          <w:color w:val="auto"/>
        </w:rPr>
        <w:t xml:space="preserve"> Common Stock ownership that counts toward an individual’s satisfaction of the foregoing requirements includes only the following:</w:t>
      </w:r>
    </w:p>
    <w:p>
      <w:pPr>
        <w:spacing w:after="0" w:line="103" w:lineRule="exact"/>
        <w:rPr>
          <w:sz w:val="20"/>
          <w:szCs w:val="20"/>
          <w:color w:val="auto"/>
        </w:rPr>
      </w:pPr>
    </w:p>
    <w:p>
      <w:pPr>
        <w:ind w:left="1500" w:hanging="743"/>
        <w:spacing w:after="0"/>
        <w:tabs>
          <w:tab w:leader="none" w:pos="15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shares of Common Stock derived from the vesting of restricted stock units;</w:t>
      </w:r>
    </w:p>
    <w:p>
      <w:pPr>
        <w:spacing w:after="0" w:line="161" w:lineRule="exact"/>
        <w:rPr>
          <w:rFonts w:ascii="Times New Roman" w:cs="Times New Roman" w:eastAsia="Times New Roman" w:hAnsi="Times New Roman"/>
          <w:sz w:val="20"/>
          <w:szCs w:val="20"/>
          <w:color w:val="auto"/>
        </w:rPr>
      </w:pPr>
    </w:p>
    <w:p>
      <w:pPr>
        <w:ind w:left="1500" w:hanging="743"/>
        <w:spacing w:after="0" w:line="268" w:lineRule="auto"/>
        <w:tabs>
          <w:tab w:leader="none" w:pos="15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outstanding shares of Common Stock, including, without limitation, shares received privately from the Company or a third party or shares purchased on the open market; and</w:t>
      </w:r>
    </w:p>
    <w:p>
      <w:pPr>
        <w:spacing w:after="0" w:line="106" w:lineRule="exact"/>
        <w:rPr>
          <w:rFonts w:ascii="Times New Roman" w:cs="Times New Roman" w:eastAsia="Times New Roman" w:hAnsi="Times New Roman"/>
          <w:sz w:val="20"/>
          <w:szCs w:val="20"/>
          <w:color w:val="auto"/>
        </w:rPr>
      </w:pPr>
    </w:p>
    <w:p>
      <w:pPr>
        <w:ind w:left="1500" w:right="20" w:hanging="743"/>
        <w:spacing w:after="0" w:line="268" w:lineRule="auto"/>
        <w:tabs>
          <w:tab w:leader="none" w:pos="15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of the foregoing, where owned by an individual’s immediate family members residing in the same household (“Immediate Family”) or held in trust for the benefit of an individual or his or her Immediate Family.</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i w:val="1"/>
          <w:iCs w:val="1"/>
          <w:color w:val="auto"/>
        </w:rPr>
        <w:t>Ownership Calculation.</w:t>
      </w:r>
      <w:r>
        <w:rPr>
          <w:rFonts w:ascii="Times New Roman" w:cs="Times New Roman" w:eastAsia="Times New Roman" w:hAnsi="Times New Roman"/>
          <w:sz w:val="20"/>
          <w:szCs w:val="20"/>
          <w:color w:val="auto"/>
        </w:rPr>
        <w:t xml:space="preserve"> Common Stock ownership levels for will be calculated annually at the end of the fiscal year, based on the average closing price of the Common Stock over the previous 90 calendar days. The Common Stock ownership on the date a Director meets these requirements will continue to satisfy the applicable ownership requirement regardless of changes in the trading price of the Common Stock, unless and until the required ownership level increases due to (i) an annual cash retainer increase, (ii) a change in role, or (iii) a sale of the Common Stock.</w:t>
      </w: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Zvi Alon, certify that:</w:t>
      </w:r>
    </w:p>
    <w:p>
      <w:pPr>
        <w:spacing w:after="0" w:line="22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Tigo Energy, Inc.;</w:t>
      </w:r>
    </w:p>
    <w:p>
      <w:pPr>
        <w:spacing w:after="0" w:line="22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Zvi Alon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Bill Roeschlein, certify that:</w:t>
      </w:r>
    </w:p>
    <w:p>
      <w:pPr>
        <w:spacing w:after="0" w:line="225"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Tigo Energy, Inc.;</w:t>
      </w:r>
    </w:p>
    <w:p>
      <w:pPr>
        <w:spacing w:after="0" w:line="22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3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Bill Roeschlein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March 31,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Zvi Alon, Chief Executive Officer of the Company, certify, pursuant to 18 U.S.C. Section 1350, as adopted pursuant to Section 906 of the Sarbanes-Oxley Act of 2002, that, to the best of my knowledge:</w:t>
      </w:r>
    </w:p>
    <w:p>
      <w:pPr>
        <w:spacing w:after="0" w:line="177" w:lineRule="exact"/>
        <w:rPr>
          <w:sz w:val="20"/>
          <w:szCs w:val="20"/>
          <w:color w:val="auto"/>
        </w:rPr>
      </w:pPr>
    </w:p>
    <w:p>
      <w:pPr>
        <w:ind w:left="720" w:hanging="354"/>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80" w:firstLine="366"/>
        <w:spacing w:after="0" w:line="508" w:lineRule="auto"/>
        <w:tabs>
          <w:tab w:leader="none" w:pos="7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14, 2024</w:t>
      </w:r>
    </w:p>
    <w:p>
      <w:pPr>
        <w:ind w:left="5640"/>
        <w:spacing w:after="0"/>
        <w:rPr>
          <w:sz w:val="20"/>
          <w:szCs w:val="20"/>
          <w:color w:val="auto"/>
        </w:rPr>
      </w:pP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Zvi Alon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March 31,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Bill Roeschlein, Chief Financial Officer of the Company, certify, pursuant to 18 U.S.C. Section 1350, as adopted pursuant to Section 906 of the Sarbanes-Oxley Act of 2002, that, to the best of my knowledge:</w:t>
      </w:r>
    </w:p>
    <w:p>
      <w:pPr>
        <w:spacing w:after="0" w:line="177" w:lineRule="exact"/>
        <w:rPr>
          <w:sz w:val="20"/>
          <w:szCs w:val="20"/>
          <w:color w:val="auto"/>
        </w:rPr>
      </w:pPr>
    </w:p>
    <w:p>
      <w:pPr>
        <w:ind w:left="720" w:hanging="35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80" w:firstLine="366"/>
        <w:spacing w:after="0" w:line="508" w:lineRule="auto"/>
        <w:tabs>
          <w:tab w:leader="none" w:pos="7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14, 2024</w:t>
      </w:r>
    </w:p>
    <w:p>
      <w:pPr>
        <w:ind w:left="5640"/>
        <w:spacing w:after="0"/>
        <w:rPr>
          <w:sz w:val="20"/>
          <w:szCs w:val="20"/>
          <w:color w:val="auto"/>
        </w:rPr>
      </w:pP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Bill Roeschlein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decimal"/>
      <w:start w:val="6"/>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decimal"/>
      <w:start w:val="8"/>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1."/>
      <w:numFmt w:val="decimal"/>
      <w:start w:val="12"/>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3"/>
    </w:lvl>
  </w:abstractNum>
  <w:abstractNum w:abstractNumId="19">
    <w:nsid w:val="4353D0CD"/>
    <w:multiLevelType w:val="hybridMultilevel"/>
    <w:lvl w:ilvl="0">
      <w:lvlJc w:val="left"/>
      <w:lvlText w:val="%1."/>
      <w:numFmt w:val="decimal"/>
      <w:start w:val="14"/>
    </w:lvl>
  </w:abstractNum>
  <w:abstractNum w:abstractNumId="20">
    <w:nsid w:val="B03E0C6"/>
    <w:multiLevelType w:val="hybridMultilevel"/>
    <w:lvl w:ilvl="0">
      <w:lvlJc w:val="left"/>
      <w:lvlText w:val="%1."/>
      <w:numFmt w:val="decimal"/>
      <w:start w:val="15"/>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1."/>
      <w:numFmt w:val="decimal"/>
      <w:start w:val="4"/>
    </w:lvl>
  </w:abstractNum>
  <w:abstractNum w:abstractNumId="25">
    <w:nsid w:val="836C40E"/>
    <w:multiLevelType w:val="hybridMultilevel"/>
    <w:lvl w:ilvl="0">
      <w:lvlJc w:val="left"/>
      <w:lvlText w:val="%1."/>
      <w:numFmt w:val="decimal"/>
      <w:start w:val="8"/>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29" Type="http://schemas.openxmlformats.org/officeDocument/2006/relationships/hyperlink" Target="https://www.sec.gov/Archives/edgar/data/1855447/000121390023044099/ea179362ex3-1_tigoenergy.htm" TargetMode="External"/><Relationship Id="rId230" Type="http://schemas.openxmlformats.org/officeDocument/2006/relationships/hyperlink" Target="https://www.sec.gov/Archives/edgar/data/1855447/000121390023044099/ea179362ex3-2_tigo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2024-05-14T15:19:08Z</dcterms:created>
  <dcterms:modified xsi:type="dcterms:W3CDTF">2024-05-14T15:19:08Z</dcterms:modified>
</cp:coreProperties>
</file>