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Dillon James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11,633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229,775</w:t>
            </w:r>
            <w:r>
              <w:rPr>
                <w:rFonts w:ascii="Times;serif" w:hAnsi="Times;serif"/>
                <w:color w:val="008000"/>
                <w:position w:val="7"/>
                <w:sz w:val="16"/>
                <w:sz w:val="20"/>
                <w:shd w:fill="FFFFFF" w:val="clear"/>
              </w:rPr>
              <w:t>(2)(3)(4)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23,798 shares of Common Stock underlying RSUs granted to the reporting person on September 16, 2024 (the "September 2024 Grant Date"), 51,503 shares of Common Stock underlying RSUs granted to the reporting person on August 1, 2025 (the "August 2025 Grant Date"), and 62,000 shares of Common Stock underlying RSUs granted to the reporting person on August 7, 2026 (the "August 2026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each of September 16, 2025 and September 16, 2026. One-third (1/3) of the RSUs subject to the grant shall vest, and an equal number of shares of Common Stock will be deliverable to the reporting person, on the third anniversary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 One-Third (1/3) of the RSUs granted to the reporting person on August 7, 2026 shall vest, and an equal number of shares of Common Stock will be deliverable to the reporting person, on each of the first three anniversaries of the August 2026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7198"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923</Words>
  <Characters>4865</Characters>
  <CharactersWithSpaces>5718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