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ygo-20230630.htm"/>
      <w:bookmarkStart w:id="1" w:name="kstygo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0" w:after="6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transition period from _____ to _____</w:t>
      </w:r>
    </w:p>
    <w:p>
      <w:pPr>
        <w:pStyle w:val="TextBody"/>
        <w:bidi w:val="0"/>
        <w:spacing w:before="120" w:after="120"/>
        <w:jc w:val="center"/>
        <w:rPr>
          <w:rFonts w:ascii="Times New Roman;serif" w:hAnsi="Times New Roman;serif"/>
          <w:b/>
          <w:sz w:val="20"/>
        </w:rPr>
      </w:pPr>
      <w:r>
        <w:rPr>
          <w:rFonts w:ascii="Times New Roman;serif" w:hAnsi="Times New Roman;serif"/>
          <w:b/>
          <w:sz w:val="20"/>
        </w:rPr>
        <w:t>Commission File Number: 001-40710</w:t>
      </w:r>
    </w:p>
    <w:p>
      <w:pPr>
        <w:pStyle w:val="TextBody"/>
        <w:bidi w:val="0"/>
        <w:spacing w:before="0" w:after="0"/>
        <w:jc w:val="center"/>
        <w:rPr>
          <w:rFonts w:ascii="Times New Roman;serif" w:hAnsi="Times New Roman;serif"/>
          <w:b/>
          <w:sz w:val="48"/>
        </w:rPr>
      </w:pPr>
      <w:r>
        <w:rPr>
          <w:rFonts w:ascii="Times New Roman;serif" w:hAnsi="Times New Roman;serif"/>
          <w:b/>
          <w:sz w:val="48"/>
        </w:rPr>
        <w:t>Tigo Energy,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tbl>
      <w:tblPr>
        <w:tblW w:w="5282" w:type="dxa"/>
        <w:jc w:val="left"/>
        <w:tblInd w:w="0" w:type="dxa"/>
        <w:tblLayout w:type="fixed"/>
        <w:tblCellMar>
          <w:top w:w="28" w:type="dxa"/>
          <w:left w:w="28" w:type="dxa"/>
          <w:bottom w:w="28" w:type="dxa"/>
          <w:right w:w="28" w:type="dxa"/>
        </w:tblCellMar>
      </w:tblPr>
      <w:tblGrid>
        <w:gridCol w:w="4036"/>
        <w:gridCol w:w="1246"/>
      </w:tblGrid>
      <w:tr>
        <w:trPr/>
        <w:tc>
          <w:tcPr>
            <w:tcW w:w="40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83-3583873</w:t>
            </w:r>
          </w:p>
        </w:tc>
      </w:tr>
      <w:tr>
        <w:trPr/>
        <w:tc>
          <w:tcPr>
            <w:tcW w:w="4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State or other jurisdiction of</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4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655 Campbell Technology Parkway, Suite 150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95008</w:t>
            </w:r>
          </w:p>
        </w:tc>
      </w:tr>
      <w:tr>
        <w:trPr/>
        <w:tc>
          <w:tcPr>
            <w:tcW w:w="4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Registrant’s telephone number, including area code: (408) 402-0802</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ROTH CH ACQUISITION IV CO.</w:t>
      </w:r>
    </w:p>
    <w:p>
      <w:pPr>
        <w:pStyle w:val="TextBody"/>
        <w:bidi w:val="0"/>
        <w:spacing w:before="0" w:after="0"/>
        <w:jc w:val="center"/>
        <w:rPr>
          <w:rFonts w:ascii="Times New Roman;serif" w:hAnsi="Times New Roman;serif"/>
          <w:b/>
          <w:sz w:val="20"/>
        </w:rPr>
      </w:pPr>
      <w:r>
        <w:rPr>
          <w:rFonts w:ascii="Times New Roman;serif" w:hAnsi="Times New Roman;serif"/>
          <w:b/>
          <w:sz w:val="20"/>
        </w:rPr>
        <w:t>888 San Clemente Drive, Suite 400</w:t>
      </w:r>
    </w:p>
    <w:p>
      <w:pPr>
        <w:pStyle w:val="TextBody"/>
        <w:bidi w:val="0"/>
        <w:spacing w:before="0" w:after="0"/>
        <w:jc w:val="center"/>
        <w:rPr>
          <w:rFonts w:ascii="Times New Roman" w:hAnsi="Times New Roman"/>
          <w:sz w:val="20"/>
        </w:rPr>
      </w:pPr>
      <w:r>
        <w:rPr>
          <w:rFonts w:ascii="Times New Roman;serif" w:hAnsi="Times New Roman;serif"/>
          <w:b/>
          <w:sz w:val="20"/>
        </w:rPr>
        <w:t>Newport Beach, CA</w:t>
      </w:r>
      <w:r>
        <w:rPr>
          <w:rFonts w:ascii="Times New Roman" w:hAnsi="Times New Roman"/>
          <w:sz w:val="20"/>
        </w:rPr>
        <w:t xml:space="preserve"> </w:t>
      </w:r>
      <w:r>
        <w:rPr>
          <w:rFonts w:ascii="Times New Roman;serif" w:hAnsi="Times New Roman;serif"/>
          <w:b/>
          <w:sz w:val="20"/>
        </w:rPr>
        <w:t>92660</w:t>
      </w:r>
    </w:p>
    <w:p>
      <w:pPr>
        <w:pStyle w:val="TextBody"/>
        <w:bidi w:val="0"/>
        <w:spacing w:before="0" w:after="0"/>
        <w:jc w:val="center"/>
        <w:rPr>
          <w:rFonts w:ascii="Times New Roman;serif" w:hAnsi="Times New Roman;serif"/>
          <w:b/>
          <w:sz w:val="20"/>
        </w:rPr>
      </w:pPr>
      <w:r>
        <w:rPr>
          <w:rFonts w:ascii="Times New Roman;serif" w:hAnsi="Times New Roman;serif"/>
          <w:b/>
          <w:sz w:val="20"/>
        </w:rPr>
        <w:t>December 31, 2022</w:t>
      </w:r>
    </w:p>
    <w:p>
      <w:pPr>
        <w:pStyle w:val="TextBody"/>
        <w:bidi w:val="0"/>
        <w:spacing w:before="0" w:after="0"/>
        <w:jc w:val="center"/>
        <w:rPr>
          <w:rFonts w:ascii="Times New Roman;serif" w:hAnsi="Times New Roman;serif"/>
          <w:b/>
          <w:sz w:val="20"/>
        </w:rPr>
      </w:pPr>
      <w:r>
        <w:rPr>
          <w:rFonts w:ascii="Times New Roman;serif" w:hAnsi="Times New Roman;serif"/>
          <w:b/>
          <w:sz w:val="20"/>
        </w:rPr>
        <w:t>(Former name, former address and former fiscal year, if changed since last report)</w:t>
      </w:r>
    </w:p>
    <w:p>
      <w:pPr>
        <w:pStyle w:val="TextBody"/>
        <w:bidi w:val="0"/>
        <w:spacing w:before="6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5466"/>
        <w:gridCol w:w="146"/>
        <w:gridCol w:w="1297"/>
        <w:gridCol w:w="146"/>
        <w:gridCol w:w="3150"/>
      </w:tblGrid>
      <w:tr>
        <w:trPr/>
        <w:tc>
          <w:tcPr>
            <w:tcW w:w="5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r>
      <w:tr>
        <w:trPr/>
        <w:tc>
          <w:tcPr>
            <w:tcW w:w="5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54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Common Stock, par value $0.0001 per share</w:t>
            </w:r>
          </w:p>
        </w:tc>
        <w:tc>
          <w:tcPr>
            <w:tcW w:w="146" w:type="dxa"/>
            <w:tcBorders/>
            <w:vAlign w:val="center"/>
          </w:tcPr>
          <w:p>
            <w:pPr>
              <w:pStyle w:val="TableContents"/>
              <w:bidi w:val="0"/>
              <w:spacing w:before="0" w:after="0"/>
              <w:ind w:left="0" w:right="0" w:hanging="0"/>
              <w:jc w:val="left"/>
              <w:rPr/>
            </w:pPr>
            <w:r>
              <w:rPr/>
              <w:t> </w:t>
            </w:r>
          </w:p>
        </w:tc>
        <w:tc>
          <w:tcPr>
            <w:tcW w:w="129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TYGO</w:t>
            </w:r>
          </w:p>
        </w:tc>
        <w:tc>
          <w:tcPr>
            <w:tcW w:w="146" w:type="dxa"/>
            <w:tcBorders/>
            <w:vAlign w:val="center"/>
          </w:tcPr>
          <w:p>
            <w:pPr>
              <w:pStyle w:val="TableContents"/>
              <w:bidi w:val="0"/>
              <w:spacing w:before="0" w:after="0"/>
              <w:ind w:left="0" w:right="0" w:hanging="0"/>
              <w:jc w:val="left"/>
              <w:rPr/>
            </w:pPr>
            <w:r>
              <w:rPr/>
              <w:t> </w:t>
            </w:r>
          </w:p>
        </w:tc>
        <w:tc>
          <w:tcPr>
            <w:tcW w:w="315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r>
        <w:trPr/>
        <w:tc>
          <w:tcPr>
            <w:tcW w:w="54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Warrants to purchase Common Stock, at an exercise price of $11.50 per share</w:t>
            </w:r>
          </w:p>
        </w:tc>
        <w:tc>
          <w:tcPr>
            <w:tcW w:w="146" w:type="dxa"/>
            <w:tcBorders/>
            <w:vAlign w:val="center"/>
          </w:tcPr>
          <w:p>
            <w:pPr>
              <w:pStyle w:val="TableContents"/>
              <w:bidi w:val="0"/>
              <w:spacing w:before="0" w:after="0"/>
              <w:ind w:left="0" w:right="0" w:hanging="0"/>
              <w:jc w:val="left"/>
              <w:rPr/>
            </w:pPr>
            <w:r>
              <w:rPr/>
              <w:t> </w:t>
            </w:r>
          </w:p>
        </w:tc>
        <w:tc>
          <w:tcPr>
            <w:tcW w:w="129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TYGOW</w:t>
            </w:r>
          </w:p>
        </w:tc>
        <w:tc>
          <w:tcPr>
            <w:tcW w:w="146" w:type="dxa"/>
            <w:tcBorders/>
            <w:vAlign w:val="center"/>
          </w:tcPr>
          <w:p>
            <w:pPr>
              <w:pStyle w:val="TableContents"/>
              <w:bidi w:val="0"/>
              <w:spacing w:before="0" w:after="0"/>
              <w:ind w:left="0" w:right="0" w:hanging="0"/>
              <w:jc w:val="left"/>
              <w:rPr/>
            </w:pPr>
            <w:r>
              <w:rPr/>
              <w:t> </w:t>
            </w:r>
          </w:p>
        </w:tc>
        <w:tc>
          <w:tcPr>
            <w:tcW w:w="315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As of August 5, 2023, the registrant had 58,144,543</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Forward-looking statements in this Quarterly Report on Form 10-Q may include, for example, statements about: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projected financial information, anticipated growth rate and market opportunities of the Company;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maintain the listing of securities on Nasdaq;</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develop and sell its product offerings and services;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manage risks associated with seasonal trends and the cyclical nature of the solar industry;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potential liquidity and trading of the Company's securities;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acquire and protect intellectual property;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manage risks associated with the Company's dependence on a small number of outside contract manufacturers;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continue working with leading solar manufacturers;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respond to fluctuations in foreign currency exchange rates and political unrest and regulatory changes in international markets into which the Company expands or otherwise operate in;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enhance future operating and financial results;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meet future liquidity requirements, which may require us to raise financing in the future;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retain or recruit, or changes required in, its officers, key employees or directors;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implement and maintain effective internal controls; and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factors relating to the Company's business, operations and financial performance, including:</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comply with laws and regulations applicable to its business;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market conditions and global and economic factors beyond the Company's control;</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compete in the highly competitive and evolving solar industry;</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continue to develop new products and innovations to meet constantly evolving customer demands;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ability to enter into, successfully maintain and manage relationships with partners and distributors; and</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the sections entitled “Summary-Summary Risk Factors” and “Risk Factors” beginning on pages 23 and 33 of the final prospectus and definitive proxy statement filed with the Securities and Exchange Commission (the “SEC”) on April 26, 2023 (the “Proxy Statement/Prospectus”), this Quarterly Report on Form 10-Q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circumstances discussed in this Quarterly Report on Form 10-Q may not occur, and actual results could differ materially and adversely from those anticipated or implied in the forward-looking statements in this Quarterly Report on Form 10-Q.</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INDEX</w:t>
      </w:r>
    </w:p>
    <w:tbl>
      <w:tblPr>
        <w:tblW w:w="10205" w:type="dxa"/>
        <w:jc w:val="left"/>
        <w:tblInd w:w="0" w:type="dxa"/>
        <w:tblLayout w:type="fixed"/>
        <w:tblCellMar>
          <w:top w:w="28" w:type="dxa"/>
          <w:left w:w="28" w:type="dxa"/>
          <w:bottom w:w="28" w:type="dxa"/>
          <w:right w:w="28" w:type="dxa"/>
        </w:tblCellMar>
      </w:tblPr>
      <w:tblGrid>
        <w:gridCol w:w="686"/>
        <w:gridCol w:w="8178"/>
        <w:gridCol w:w="1341"/>
      </w:tblGrid>
      <w:tr>
        <w:trPr/>
        <w:tc>
          <w:tcPr>
            <w:tcW w:w="686" w:type="dxa"/>
            <w:tcBorders/>
            <w:shd w:fill="FFFFFF" w:val="clear"/>
            <w:vAlign w:val="center"/>
          </w:tcPr>
          <w:p>
            <w:pPr>
              <w:pStyle w:val="TableContents"/>
              <w:bidi w:val="0"/>
              <w:spacing w:before="0" w:after="283"/>
              <w:jc w:val="left"/>
              <w:rPr>
                <w:sz w:val="4"/>
                <w:szCs w:val="4"/>
              </w:rPr>
            </w:pPr>
            <w:r>
              <w:rPr>
                <w:sz w:val="4"/>
                <w:szCs w:val="4"/>
              </w:rPr>
            </w:r>
          </w:p>
        </w:tc>
        <w:tc>
          <w:tcPr>
            <w:tcW w:w="8178" w:type="dxa"/>
            <w:tcBorders/>
            <w:shd w:fill="FFFFFF" w:val="clear"/>
            <w:vAlign w:val="center"/>
          </w:tcPr>
          <w:p>
            <w:pPr>
              <w:pStyle w:val="TableContents"/>
              <w:bidi w:val="0"/>
              <w:spacing w:before="0" w:after="283"/>
              <w:jc w:val="left"/>
              <w:rPr>
                <w:sz w:val="4"/>
                <w:szCs w:val="4"/>
              </w:rPr>
            </w:pPr>
            <w:r>
              <w:rPr>
                <w:sz w:val="4"/>
                <w:szCs w:val="4"/>
              </w:rPr>
            </w:r>
          </w:p>
        </w:tc>
        <w:tc>
          <w:tcPr>
            <w:tcW w:w="1341" w:type="dxa"/>
            <w:tcBorders/>
            <w:shd w:fill="FFFFFF" w:val="cle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17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 FINANCIAL INFORMATION</w:t>
            </w:r>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1.</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1_financial_statements_unaudited">
              <w:r>
                <w:rPr>
                  <w:rStyle w:val="InternetLink"/>
                  <w:rFonts w:ascii="Times New Roman;serif" w:hAnsi="Times New Roman;serif"/>
                  <w:b w:val="false"/>
                  <w:sz w:val="20"/>
                  <w:u w:val="single"/>
                </w:rPr>
                <w:t>Financial Statements (Unaudited)</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June 30, 2023, and December 31, 2022</w:t>
              </w:r>
            </w:hyperlink>
            <w:hyperlink w:anchor="condensed_consolidated_balance_sheets">
              <w:r>
                <w:rPr>
                  <w:rStyle w:val="InternetLink"/>
                  <w:rFonts w:ascii="Times New Roman" w:hAnsi="Times New Roman"/>
                  <w:sz w:val="20"/>
                </w:rPr>
                <w:t xml:space="preserve"> </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left"/>
              <w:rPr/>
            </w:pPr>
            <w:hyperlink w:anchor="condensed_stmt_of_ops_and_comp_income">
              <w:r>
                <w:rPr>
                  <w:rStyle w:val="InternetLink"/>
                  <w:rFonts w:ascii="Times New Roman;serif" w:hAnsi="Times New Roman;serif"/>
                  <w:b w:val="false"/>
                  <w:sz w:val="20"/>
                  <w:u w:val="single"/>
                </w:rPr>
                <w:t>Condensed Consolidated Statements of Operations and Comprehensive Loss for the Three and Six Months ended June 30, 2023, and 2022</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left"/>
              <w:rPr/>
            </w:pPr>
            <w:hyperlink w:anchor="condensed_stmt_of_con_and_deficit">
              <w:r>
                <w:rPr>
                  <w:rStyle w:val="InternetLink"/>
                  <w:rFonts w:ascii="Times New Roman;serif" w:hAnsi="Times New Roman;serif"/>
                  <w:b w:val="false"/>
                  <w:sz w:val="20"/>
                  <w:u w:val="single"/>
                </w:rPr>
                <w:t>Condensed Consolidated Statements of Convertible Preferred Stock and Changes in Stockholders’ Equity for the Three and Six Months ended June 30, 2023, and 2022</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left"/>
              <w:rPr/>
            </w:pPr>
            <w:hyperlink w:anchor="condensed_consolidated_stmt_of_cash_flow">
              <w:r>
                <w:rPr>
                  <w:rStyle w:val="InternetLink"/>
                  <w:rFonts w:ascii="Times New Roman;serif" w:hAnsi="Times New Roman;serif"/>
                  <w:b w:val="false"/>
                  <w:sz w:val="20"/>
                  <w:u w:val="single"/>
                </w:rPr>
                <w:t>Condensed Consolidated Statements of Cash Flows for the Six Months ended June 30, 2023, and 2022</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left"/>
              <w:rPr/>
            </w:pPr>
            <w:hyperlink w:anchor="notes_to_consolidated_condensed_fin_stmt">
              <w:r>
                <w:rPr>
                  <w:rStyle w:val="InternetLink"/>
                  <w:rFonts w:ascii="Times New Roman;serif" w:hAnsi="Times New Roman;serif"/>
                  <w:b w:val="false"/>
                  <w:sz w:val="20"/>
                  <w:u w:val="single"/>
                </w:rPr>
                <w:t>Notes to Condensed Consolidated Financial Statements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2.</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2_mda">
              <w:r>
                <w:rPr>
                  <w:rStyle w:val="InternetLink"/>
                  <w:rFonts w:ascii="Times New Roman;serif" w:hAnsi="Times New Roman;serif"/>
                  <w:b w:val="false"/>
                  <w:sz w:val="20"/>
                  <w:u w:val="single"/>
                </w:rPr>
                <w:t>Management's Discussion and Analysis of Financial Condition and Results of Operations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3.</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4.</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686" w:type="dxa"/>
            <w:tcBorders/>
            <w:vAlign w:val="center"/>
          </w:tcPr>
          <w:p>
            <w:pPr>
              <w:pStyle w:val="TableContents"/>
              <w:bidi w:val="0"/>
              <w:spacing w:before="0" w:after="0"/>
              <w:ind w:left="0" w:right="0" w:hanging="0"/>
              <w:jc w:val="left"/>
              <w:rPr/>
            </w:pPr>
            <w:r>
              <w:rPr/>
              <w:t> </w:t>
            </w:r>
          </w:p>
        </w:tc>
        <w:tc>
          <w:tcPr>
            <w:tcW w:w="8178"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II. OTHER INFORMATION</w:t>
            </w:r>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1.</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1A.</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178"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3.</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tem_3_defaults_upon_senior_securities">
              <w:r>
                <w:rPr>
                  <w:rStyle w:val="InternetLink"/>
                  <w:rFonts w:ascii="Times New Roman;serif" w:hAnsi="Times New Roman;serif"/>
                  <w:b w:val="false"/>
                  <w:sz w:val="20"/>
                  <w:u w:val="single"/>
                </w:rPr>
                <w:t>Defaults Upon Senior Securities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4.</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5.</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6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Item 6.</w:t>
            </w:r>
            <w:r>
              <w:rPr>
                <w:rFonts w:ascii="Times New Roman" w:hAnsi="Times New Roman"/>
                <w:sz w:val="20"/>
              </w:rPr>
              <w:t xml:space="preserve"> </w:t>
            </w:r>
          </w:p>
        </w:tc>
        <w:tc>
          <w:tcPr>
            <w:tcW w:w="8178"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341" w:type="dxa"/>
            <w:tcBorders/>
            <w:tcMar>
              <w:top w:w="0" w:type="dxa"/>
              <w:left w:w="0" w:type="dxa"/>
              <w:bottom w:w="0" w:type="dxa"/>
              <w:right w:w="0" w:type="dxa"/>
            </w:tcMar>
            <w:vAlign w:val="center"/>
          </w:tcPr>
          <w:p>
            <w:pPr>
              <w:pStyle w:val="TableContents"/>
              <w:bidi w:val="0"/>
              <w:spacing w:before="0" w:after="0"/>
              <w:ind w:left="0" w:right="0" w:firstLine="979"/>
              <w:jc w:val="right"/>
              <w:rPr>
                <w:rFonts w:ascii="Times New Roman;serif" w:hAnsi="Times New Roman;serif"/>
                <w:b w:val="false"/>
                <w:sz w:val="20"/>
              </w:rPr>
            </w:pPr>
            <w:r>
              <w:rPr>
                <w:rFonts w:ascii="Times New Roman;serif" w:hAnsi="Times New Roman;serif"/>
                <w:b w:val="false"/>
                <w:sz w:val="20"/>
              </w:rPr>
              <w:t>35</w:t>
            </w:r>
          </w:p>
        </w:tc>
      </w:tr>
      <w:tr>
        <w:trPr/>
        <w:tc>
          <w:tcPr>
            <w:tcW w:w="8864" w:type="dxa"/>
            <w:gridSpan w:val="2"/>
            <w:tcBorders/>
            <w:vAlign w:val="center"/>
          </w:tcPr>
          <w:p>
            <w:pPr>
              <w:pStyle w:val="TableContents"/>
              <w:bidi w:val="0"/>
              <w:spacing w:before="0" w:after="0"/>
              <w:ind w:left="979" w:right="0" w:hanging="0"/>
              <w:jc w:val="left"/>
              <w:rPr/>
            </w:pPr>
            <w:r>
              <w:rPr/>
              <w:t> </w:t>
            </w:r>
          </w:p>
        </w:tc>
        <w:tc>
          <w:tcPr>
            <w:tcW w:w="13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PART I. FINANCIAL INFORMATION</w:t>
      </w:r>
    </w:p>
    <w:p>
      <w:pPr>
        <w:pStyle w:val="TextBody"/>
        <w:bidi w:val="0"/>
        <w:spacing w:before="0" w:after="0"/>
        <w:jc w:val="left"/>
        <w:rPr>
          <w:rFonts w:ascii="Times New Roman;serif" w:hAnsi="Times New Roman;serif"/>
          <w:b/>
          <w:i/>
          <w:sz w:val="16"/>
        </w:rPr>
      </w:pPr>
      <w:bookmarkStart w:id="2" w:name="item_1_financial_statements_unaudited"/>
      <w:bookmarkEnd w:id="2"/>
      <w:r>
        <w:rPr>
          <w:rFonts w:ascii="Times New Roman;serif" w:hAnsi="Times New Roman;serif"/>
          <w:b/>
          <w:i/>
          <w:sz w:val="16"/>
        </w:rPr>
        <w:t>Item 1. Financial Statements (Unaudited)</w:t>
      </w:r>
    </w:p>
    <w:p>
      <w:pPr>
        <w:pStyle w:val="TextBody"/>
        <w:bidi w:val="0"/>
        <w:spacing w:before="40" w:after="0"/>
        <w:jc w:val="center"/>
        <w:rPr>
          <w:rFonts w:ascii="Times New Roman;serif" w:hAnsi="Times New Roman;serif"/>
          <w:b/>
          <w:sz w:val="18"/>
        </w:rPr>
      </w:pPr>
      <w:r>
        <w:rPr>
          <w:rFonts w:ascii="Times New Roman;serif" w:hAnsi="Times New Roman;serif"/>
          <w:b/>
          <w:sz w:val="18"/>
        </w:rPr>
        <w:t>TIGO ENERGY, INC. AND SUBSIDIARIES</w:t>
      </w:r>
    </w:p>
    <w:p>
      <w:pPr>
        <w:pStyle w:val="TextBody"/>
        <w:bidi w:val="0"/>
        <w:spacing w:before="0" w:after="0"/>
        <w:jc w:val="center"/>
        <w:rPr>
          <w:rFonts w:ascii="Times New Roman;serif" w:hAnsi="Times New Roman;serif"/>
          <w:b/>
          <w:sz w:val="18"/>
        </w:rPr>
      </w:pPr>
      <w:bookmarkStart w:id="3" w:name="condensed_consolidated_balance_sheets"/>
      <w:bookmarkEnd w:id="3"/>
      <w:r>
        <w:rPr>
          <w:rFonts w:ascii="Times New Roman;serif" w:hAnsi="Times New Roman;serif"/>
          <w:b/>
          <w:sz w:val="18"/>
        </w:rPr>
        <w:t>CONDENSED CONSOLIDATED BALANCE SHEETS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per share data)</w:t>
      </w:r>
    </w:p>
    <w:p>
      <w:pPr>
        <w:pStyle w:val="TextBody"/>
        <w:bidi w:val="0"/>
        <w:spacing w:before="0" w:after="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46"/>
        <w:gridCol w:w="146"/>
        <w:gridCol w:w="211"/>
        <w:gridCol w:w="781"/>
        <w:gridCol w:w="166"/>
        <w:gridCol w:w="146"/>
        <w:gridCol w:w="222"/>
        <w:gridCol w:w="775"/>
        <w:gridCol w:w="712"/>
      </w:tblGrid>
      <w:tr>
        <w:trPr/>
        <w:tc>
          <w:tcPr>
            <w:tcW w:w="7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70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493"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712" w:type="dxa"/>
            <w:tcBorders/>
            <w:vAlign w:val="center"/>
          </w:tcPr>
          <w:p>
            <w:pPr>
              <w:pStyle w:val="TableContents"/>
              <w:bidi w:val="0"/>
              <w:spacing w:before="0" w:after="0"/>
              <w:ind w:left="0" w:right="0" w:hanging="0"/>
              <w:jc w:val="center"/>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7" w:type="dxa"/>
            <w:gridSpan w:val="2"/>
            <w:tcBorders/>
            <w:vAlign w:val="center"/>
          </w:tcPr>
          <w:p>
            <w:pPr>
              <w:pStyle w:val="TableContents"/>
              <w:bidi w:val="0"/>
              <w:spacing w:before="0" w:after="0"/>
              <w:ind w:left="0" w:right="0" w:hanging="0"/>
              <w:jc w:val="right"/>
              <w:rPr/>
            </w:pPr>
            <w:r>
              <w:rPr/>
              <w:t> </w:t>
            </w:r>
          </w:p>
        </w:tc>
        <w:tc>
          <w:tcPr>
            <w:tcW w:w="712" w:type="dxa"/>
            <w:tcBorders/>
            <w:vAlign w:val="center"/>
          </w:tcPr>
          <w:p>
            <w:pPr>
              <w:pStyle w:val="TableContents"/>
              <w:bidi w:val="0"/>
              <w:spacing w:before="0" w:after="0"/>
              <w:ind w:left="0" w:right="0" w:firstLine="300"/>
              <w:jc w:val="righ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36,194</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 w:hAnsi="Times New Roman"/>
                <w:sz w:val="20"/>
              </w:rPr>
            </w:pPr>
            <w:r>
              <w:rPr>
                <w:rFonts w:ascii="Times New Roman;serif" w:hAnsi="Times New Roman;serif"/>
                <w:b w:val="false"/>
                <w:sz w:val="20"/>
              </w:rPr>
              <w:t>Accounts receivable, net allowance for credit losses of $220</w:t>
            </w:r>
            <w:r>
              <w:rPr>
                <w:rFonts w:ascii="Times New Roman" w:hAnsi="Times New Roman"/>
                <w:sz w:val="20"/>
              </w:rPr>
              <w:t> </w:t>
            </w:r>
            <w:r>
              <w:rPr>
                <w:rFonts w:ascii="Times New Roman;serif" w:hAnsi="Times New Roman;serif"/>
                <w:b w:val="false"/>
                <w:sz w:val="20"/>
              </w:rPr>
              <w:t>and $76</w:t>
            </w:r>
            <w:r>
              <w:rPr>
                <w:rFonts w:ascii="Times New Roman" w:hAnsi="Times New Roman"/>
                <w:sz w:val="20"/>
              </w:rPr>
              <w:t> </w:t>
            </w:r>
            <w:r>
              <w:rPr>
                <w:rFonts w:ascii="Times New Roman;serif" w:hAnsi="Times New Roman;serif"/>
                <w:b w:val="false"/>
                <w:sz w:val="20"/>
              </w:rPr>
              <w:t>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15,816</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Inventory,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24,915</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Deferred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2,221</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Notes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3,967</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85,092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195,132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88,078</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93"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CONVERTIBLE PREFERRED STOCK AND STOCKHOLDERS' EQUITY (DEFICIT)</w:t>
            </w:r>
          </w:p>
        </w:tc>
        <w:tc>
          <w:tcPr>
            <w:tcW w:w="712" w:type="dxa"/>
            <w:tcBorders/>
            <w:vAlign w:val="center"/>
          </w:tcPr>
          <w:p>
            <w:pPr>
              <w:pStyle w:val="TableContents"/>
              <w:bidi w:val="0"/>
              <w:spacing w:before="0" w:after="0"/>
              <w:ind w:left="0" w:right="0" w:hanging="0"/>
              <w:jc w:val="center"/>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7" w:type="dxa"/>
            <w:gridSpan w:val="2"/>
            <w:tcBorders/>
            <w:vAlign w:val="center"/>
          </w:tcPr>
          <w:p>
            <w:pPr>
              <w:pStyle w:val="TableContents"/>
              <w:bidi w:val="0"/>
              <w:spacing w:before="0" w:after="0"/>
              <w:ind w:left="0" w:right="0" w:hanging="0"/>
              <w:jc w:val="right"/>
              <w:rPr/>
            </w:pPr>
            <w:r>
              <w:rPr/>
              <w:t> </w:t>
            </w:r>
          </w:p>
        </w:tc>
        <w:tc>
          <w:tcPr>
            <w:tcW w:w="712" w:type="dxa"/>
            <w:tcBorders/>
            <w:vAlign w:val="center"/>
          </w:tcPr>
          <w:p>
            <w:pPr>
              <w:pStyle w:val="TableContents"/>
              <w:bidi w:val="0"/>
              <w:spacing w:before="0" w:after="0"/>
              <w:ind w:left="0" w:right="0" w:firstLine="300"/>
              <w:jc w:val="righ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23,286</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Deferred revenue,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Warranty liability,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Current maturities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39,588</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 liability,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3,959</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 of current maturities and 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Preferred stock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56,630</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Convertible preferred stock, $0.0001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7" w:type="dxa"/>
            <w:gridSpan w:val="2"/>
            <w:tcBorders/>
            <w:vAlign w:val="center"/>
          </w:tcPr>
          <w:p>
            <w:pPr>
              <w:pStyle w:val="TableContents"/>
              <w:bidi w:val="0"/>
              <w:spacing w:before="0" w:after="0"/>
              <w:ind w:left="0" w:right="0" w:hanging="0"/>
              <w:jc w:val="right"/>
              <w:rPr/>
            </w:pPr>
            <w:r>
              <w:rPr/>
              <w:t> </w:t>
            </w:r>
          </w:p>
        </w:tc>
        <w:tc>
          <w:tcPr>
            <w:tcW w:w="712" w:type="dxa"/>
            <w:tcBorders/>
            <w:vAlign w:val="center"/>
          </w:tcPr>
          <w:p>
            <w:pPr>
              <w:pStyle w:val="TableContents"/>
              <w:bidi w:val="0"/>
              <w:spacing w:before="0" w:after="0"/>
              <w:ind w:left="0" w:right="0" w:firstLine="500"/>
              <w:jc w:val="right"/>
              <w:rPr/>
            </w:pPr>
            <w:r>
              <w:rPr/>
              <w:t> </w:t>
            </w:r>
          </w:p>
        </w:tc>
      </w:tr>
      <w:tr>
        <w:trPr/>
        <w:tc>
          <w:tcPr>
            <w:tcW w:w="7046" w:type="dxa"/>
            <w:tcBorders/>
            <w:vAlign w:val="center"/>
          </w:tcPr>
          <w:p>
            <w:pPr>
              <w:pStyle w:val="TableContents"/>
              <w:bidi w:val="0"/>
              <w:spacing w:before="0" w:after="0"/>
              <w:ind w:left="500" w:right="0" w:hanging="0"/>
              <w:jc w:val="left"/>
              <w:rPr>
                <w:rFonts w:ascii="Times New Roman" w:hAnsi="Times New Roman"/>
                <w:sz w:val="20"/>
              </w:rPr>
            </w:pPr>
            <w:r>
              <w:rPr>
                <w:rFonts w:ascii="Times New Roman;serif" w:hAnsi="Times New Roman;serif"/>
                <w:b w:val="false"/>
                <w:sz w:val="20"/>
              </w:rPr>
              <w:t>Convertible preferred stock: 10,000,000</w:t>
            </w:r>
            <w:r>
              <w:rPr>
                <w:rFonts w:ascii="Times New Roman" w:hAnsi="Times New Roman"/>
                <w:sz w:val="20"/>
              </w:rPr>
              <w:t> </w:t>
            </w:r>
            <w:r>
              <w:rPr>
                <w:rFonts w:ascii="Times New Roman;serif" w:hAnsi="Times New Roman;serif"/>
                <w:b w:val="false"/>
                <w:sz w:val="20"/>
              </w:rPr>
              <w:t>and 47,484,663</w:t>
            </w:r>
            <w:r>
              <w:rPr>
                <w:rFonts w:ascii="Times New Roman" w:hAnsi="Times New Roman"/>
                <w:sz w:val="20"/>
              </w:rPr>
              <w:t> </w:t>
            </w:r>
            <w:r>
              <w:rPr>
                <w:rFonts w:ascii="Times New Roman;serif" w:hAnsi="Times New Roman;serif"/>
                <w:b w:val="false"/>
                <w:sz w:val="20"/>
              </w:rPr>
              <w:t>shares authorized; zero</w:t>
            </w:r>
            <w:r>
              <w:rPr>
                <w:rFonts w:ascii="Times New Roman" w:hAnsi="Times New Roman"/>
                <w:sz w:val="20"/>
              </w:rPr>
              <w:t> </w:t>
            </w:r>
            <w:r>
              <w:rPr>
                <w:rFonts w:ascii="Times New Roman;serif" w:hAnsi="Times New Roman;serif"/>
                <w:b w:val="false"/>
                <w:sz w:val="20"/>
              </w:rPr>
              <w:t>and 46,467,565</w:t>
            </w:r>
            <w:r>
              <w:rPr>
                <w:rFonts w:ascii="Times New Roman" w:hAnsi="Times New Roman"/>
                <w:sz w:val="20"/>
              </w:rPr>
              <w:t> </w:t>
            </w:r>
            <w:r>
              <w:rPr>
                <w:rFonts w:ascii="Times New Roman;serif" w:hAnsi="Times New Roman;serif"/>
                <w:b w:val="false"/>
                <w:sz w:val="20"/>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87,140</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10)</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7" w:type="dxa"/>
            <w:gridSpan w:val="2"/>
            <w:tcBorders/>
            <w:vAlign w:val="center"/>
          </w:tcPr>
          <w:p>
            <w:pPr>
              <w:pStyle w:val="TableContents"/>
              <w:bidi w:val="0"/>
              <w:spacing w:before="0" w:after="0"/>
              <w:ind w:left="0" w:right="0" w:hanging="0"/>
              <w:jc w:val="right"/>
              <w:rPr/>
            </w:pPr>
            <w:r>
              <w:rPr/>
              <w:t> </w:t>
            </w:r>
          </w:p>
        </w:tc>
        <w:tc>
          <w:tcPr>
            <w:tcW w:w="712" w:type="dxa"/>
            <w:tcBorders/>
            <w:vAlign w:val="center"/>
          </w:tcPr>
          <w:p>
            <w:pPr>
              <w:pStyle w:val="TableContents"/>
              <w:bidi w:val="0"/>
              <w:spacing w:before="0" w:after="0"/>
              <w:ind w:left="0" w:right="0" w:hanging="0"/>
              <w:jc w:val="right"/>
              <w:rPr/>
            </w:pPr>
            <w:r>
              <w:rPr/>
              <w:t> </w:t>
            </w:r>
          </w:p>
        </w:tc>
      </w:tr>
      <w:tr>
        <w:trPr/>
        <w:tc>
          <w:tcPr>
            <w:tcW w:w="7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 (deficit):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7" w:type="dxa"/>
            <w:gridSpan w:val="2"/>
            <w:tcBorders/>
            <w:vAlign w:val="center"/>
          </w:tcPr>
          <w:p>
            <w:pPr>
              <w:pStyle w:val="TableContents"/>
              <w:bidi w:val="0"/>
              <w:spacing w:before="0" w:after="0"/>
              <w:ind w:left="0" w:right="0" w:hanging="0"/>
              <w:jc w:val="right"/>
              <w:rPr/>
            </w:pPr>
            <w:r>
              <w:rPr/>
              <w:t> </w:t>
            </w:r>
          </w:p>
        </w:tc>
        <w:tc>
          <w:tcPr>
            <w:tcW w:w="712" w:type="dxa"/>
            <w:tcBorders/>
            <w:vAlign w:val="center"/>
          </w:tcPr>
          <w:p>
            <w:pPr>
              <w:pStyle w:val="TableContents"/>
              <w:bidi w:val="0"/>
              <w:spacing w:before="0" w:after="0"/>
              <w:ind w:left="0" w:right="0" w:firstLine="300"/>
              <w:jc w:val="right"/>
              <w:rPr/>
            </w:pPr>
            <w:r>
              <w:rPr/>
              <w:t> </w:t>
            </w:r>
          </w:p>
        </w:tc>
      </w:tr>
      <w:tr>
        <w:trPr/>
        <w:tc>
          <w:tcPr>
            <w:tcW w:w="7046" w:type="dxa"/>
            <w:tcBorders/>
            <w:vAlign w:val="center"/>
          </w:tcPr>
          <w:p>
            <w:pPr>
              <w:pStyle w:val="TableContents"/>
              <w:bidi w:val="0"/>
              <w:spacing w:before="0" w:after="0"/>
              <w:ind w:left="3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150,000,000</w:t>
            </w:r>
            <w:r>
              <w:rPr>
                <w:rFonts w:ascii="Times New Roman" w:hAnsi="Times New Roman"/>
                <w:sz w:val="20"/>
              </w:rPr>
              <w:t> </w:t>
            </w:r>
            <w:r>
              <w:rPr>
                <w:rFonts w:ascii="Times New Roman;serif" w:hAnsi="Times New Roman;serif"/>
                <w:b w:val="false"/>
                <w:sz w:val="20"/>
              </w:rPr>
              <w:t>and 60,667,100</w:t>
            </w:r>
            <w:r>
              <w:rPr>
                <w:rFonts w:ascii="Times New Roman" w:hAnsi="Times New Roman"/>
                <w:sz w:val="20"/>
              </w:rPr>
              <w:t> </w:t>
            </w:r>
            <w:r>
              <w:rPr>
                <w:rFonts w:ascii="Times New Roman;serif" w:hAnsi="Times New Roman;serif"/>
                <w:b w:val="false"/>
                <w:sz w:val="20"/>
              </w:rPr>
              <w:t>shares authorized, respectively; 58,144,543</w:t>
            </w:r>
            <w:r>
              <w:rPr>
                <w:rFonts w:ascii="Times New Roman" w:hAnsi="Times New Roman"/>
                <w:sz w:val="20"/>
              </w:rPr>
              <w:t> </w:t>
            </w:r>
            <w:r>
              <w:rPr>
                <w:rFonts w:ascii="Times New Roman;serif" w:hAnsi="Times New Roman;serif"/>
                <w:b w:val="false"/>
                <w:sz w:val="20"/>
              </w:rPr>
              <w:t>and 5,469,921</w:t>
            </w:r>
            <w:r>
              <w:rPr>
                <w:rFonts w:ascii="Times New Roman" w:hAnsi="Times New Roman"/>
                <w:sz w:val="20"/>
              </w:rPr>
              <w:t> </w:t>
            </w:r>
            <w:r>
              <w:rPr>
                <w:rFonts w:ascii="Times New Roman;serif" w:hAnsi="Times New Roman;serif"/>
                <w:b w:val="false"/>
                <w:sz w:val="20"/>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6,522</w:t>
            </w:r>
          </w:p>
        </w:tc>
        <w:tc>
          <w:tcPr>
            <w:tcW w:w="712" w:type="dxa"/>
            <w:tcBorders/>
            <w:vAlign w:val="center"/>
          </w:tcPr>
          <w:p>
            <w:pPr>
              <w:pStyle w:val="TableContents"/>
              <w:bidi w:val="0"/>
              <w:spacing w:before="0" w:after="0"/>
              <w:ind w:left="0" w:right="0" w:firstLine="300"/>
              <w:jc w:val="left"/>
              <w:rPr/>
            </w:pPr>
            <w:r>
              <w:rPr/>
              <w:t> </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(62,215</w:t>
            </w:r>
          </w:p>
        </w:tc>
        <w:tc>
          <w:tcPr>
            <w:tcW w:w="712"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stockholders’ equity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(55,692</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704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 convertible preferred stock and stockholders’ equity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195,132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88,078</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center"/>
        <w:rPr>
          <w:rFonts w:ascii="Times New Roman;serif" w:hAnsi="Times New Roman;serif"/>
          <w:b/>
          <w:sz w:val="20"/>
        </w:rPr>
      </w:pPr>
      <w:bookmarkStart w:id="4" w:name="condensed_stmt_of_ops_and_comp_income"/>
      <w:bookmarkEnd w:id="4"/>
      <w:r>
        <w:rPr>
          <w:rFonts w:ascii="Times New Roman;serif" w:hAnsi="Times New Roman;serif"/>
          <w:b/>
          <w:sz w:val="20"/>
        </w:rPr>
        <w:t>CONDENSED CONSOLIDATED STATEMENTS OF OPERATIONS AND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54"/>
        <w:gridCol w:w="146"/>
        <w:gridCol w:w="211"/>
        <w:gridCol w:w="1036"/>
        <w:gridCol w:w="166"/>
        <w:gridCol w:w="146"/>
        <w:gridCol w:w="211"/>
        <w:gridCol w:w="931"/>
        <w:gridCol w:w="166"/>
        <w:gridCol w:w="146"/>
        <w:gridCol w:w="211"/>
        <w:gridCol w:w="1036"/>
        <w:gridCol w:w="166"/>
        <w:gridCol w:w="146"/>
        <w:gridCol w:w="211"/>
        <w:gridCol w:w="931"/>
        <w:gridCol w:w="691"/>
      </w:tblGrid>
      <w:tr>
        <w:trPr/>
        <w:tc>
          <w:tcPr>
            <w:tcW w:w="3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27,558</w:t>
            </w:r>
          </w:p>
        </w:tc>
        <w:tc>
          <w:tcPr>
            <w:tcW w:w="691" w:type="dxa"/>
            <w:tcBorders/>
            <w:vAlign w:val="center"/>
          </w:tcPr>
          <w:p>
            <w:pPr>
              <w:pStyle w:val="TableContents"/>
              <w:bidi w:val="0"/>
              <w:spacing w:before="0" w:after="0"/>
              <w:ind w:left="0" w:right="0" w:hanging="0"/>
              <w:jc w:val="lef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19,343</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w:t>
            </w:r>
          </w:p>
        </w:tc>
        <w:tc>
          <w:tcPr>
            <w:tcW w:w="691" w:type="dxa"/>
            <w:tcBorders/>
            <w:vAlign w:val="center"/>
          </w:tcPr>
          <w:p>
            <w:pPr>
              <w:pStyle w:val="TableContents"/>
              <w:bidi w:val="0"/>
              <w:spacing w:before="0" w:after="0"/>
              <w:ind w:left="0" w:right="0" w:hanging="0"/>
              <w:jc w:val="lef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300"/>
              <w:jc w:val="righ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4,341</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654"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9,177</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654"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 (income):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300"/>
              <w:jc w:val="righ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Change in fair value of preferred stock warrant and contingent shares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Loss on debt extinguishment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3,613</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691" w:type="dxa"/>
            <w:tcBorders/>
            <w:vAlign w:val="center"/>
          </w:tcPr>
          <w:p>
            <w:pPr>
              <w:pStyle w:val="TableContents"/>
              <w:bidi w:val="0"/>
              <w:spacing w:before="0" w:after="0"/>
              <w:ind w:left="0" w:right="0" w:firstLine="300"/>
              <w:jc w:val="left"/>
              <w:rPr/>
            </w:pPr>
            <w:r>
              <w:rPr/>
              <w:t> </w:t>
            </w:r>
          </w:p>
        </w:tc>
      </w:tr>
      <w:tr>
        <w:trPr/>
        <w:tc>
          <w:tcPr>
            <w:tcW w:w="365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654"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other expenses,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income before 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loss resulting from change in fair value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 </w:t>
            </w:r>
          </w:p>
        </w:tc>
      </w:tr>
      <w:tr>
        <w:trPr/>
        <w:tc>
          <w:tcPr>
            <w:tcW w:w="36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on Series D and Series E convertible preferred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(7,659</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per common share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36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6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36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27,750,374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4,836,316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17,174,936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4,824,468</w:t>
            </w:r>
          </w:p>
        </w:tc>
        <w:tc>
          <w:tcPr>
            <w:tcW w:w="691" w:type="dxa"/>
            <w:tcBorders/>
            <w:vAlign w:val="center"/>
          </w:tcPr>
          <w:p>
            <w:pPr>
              <w:pStyle w:val="TableContents"/>
              <w:bidi w:val="0"/>
              <w:spacing w:before="0" w:after="0"/>
              <w:ind w:left="0" w:right="0" w:firstLine="200"/>
              <w:jc w:val="left"/>
              <w:rPr/>
            </w:pPr>
            <w:r>
              <w:rPr/>
              <w:t> </w:t>
            </w:r>
          </w:p>
        </w:tc>
      </w:tr>
      <w:tr>
        <w:trPr/>
        <w:tc>
          <w:tcPr>
            <w:tcW w:w="36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27,750,374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4,836,316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17,174,936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4,824,468</w:t>
            </w:r>
          </w:p>
        </w:tc>
        <w:tc>
          <w:tcPr>
            <w:tcW w:w="6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center"/>
        <w:rPr>
          <w:rFonts w:ascii="Times New Roman;serif" w:hAnsi="Times New Roman;serif"/>
          <w:b/>
          <w:sz w:val="20"/>
        </w:rPr>
      </w:pPr>
      <w:bookmarkStart w:id="5" w:name="condensed_stmt_of_con_and_deficit"/>
      <w:bookmarkEnd w:id="5"/>
      <w:r>
        <w:rPr>
          <w:rFonts w:ascii="Times New Roman;serif" w:hAnsi="Times New Roman;serif"/>
          <w:b/>
          <w:sz w:val="20"/>
        </w:rPr>
        <w:t>CONDENSED CONSOLIDATED STATEMENTS OF CONVERTIBLE PREFERRED STOCK AND CHANGES IN STOCKHOLDERS’ EQUITY (DEFICIT)</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2066" w:type="dxa"/>
        <w:jc w:val="left"/>
        <w:tblInd w:w="0" w:type="dxa"/>
        <w:tblLayout w:type="fixed"/>
        <w:tblCellMar>
          <w:top w:w="28" w:type="dxa"/>
          <w:left w:w="28" w:type="dxa"/>
          <w:bottom w:w="28" w:type="dxa"/>
          <w:right w:w="28" w:type="dxa"/>
        </w:tblCellMar>
      </w:tblPr>
      <w:tblGrid>
        <w:gridCol w:w="1261"/>
        <w:gridCol w:w="146"/>
        <w:gridCol w:w="146"/>
        <w:gridCol w:w="1201"/>
        <w:gridCol w:w="166"/>
        <w:gridCol w:w="146"/>
        <w:gridCol w:w="211"/>
        <w:gridCol w:w="736"/>
        <w:gridCol w:w="166"/>
        <w:gridCol w:w="146"/>
        <w:gridCol w:w="146"/>
        <w:gridCol w:w="146"/>
        <w:gridCol w:w="1096"/>
        <w:gridCol w:w="166"/>
        <w:gridCol w:w="146"/>
        <w:gridCol w:w="239"/>
        <w:gridCol w:w="392"/>
        <w:gridCol w:w="166"/>
        <w:gridCol w:w="146"/>
        <w:gridCol w:w="211"/>
        <w:gridCol w:w="781"/>
        <w:gridCol w:w="166"/>
        <w:gridCol w:w="146"/>
        <w:gridCol w:w="211"/>
        <w:gridCol w:w="736"/>
        <w:gridCol w:w="166"/>
        <w:gridCol w:w="146"/>
        <w:gridCol w:w="320"/>
        <w:gridCol w:w="731"/>
        <w:gridCol w:w="166"/>
        <w:gridCol w:w="146"/>
        <w:gridCol w:w="214"/>
        <w:gridCol w:w="747"/>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84"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 equity (deficit)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Convertible preferred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5"/>
              </w:rPr>
            </w:pPr>
            <w:r>
              <w:rPr>
                <w:rFonts w:ascii="Times New Roman;serif" w:hAnsi="Times New Roman;serif"/>
                <w:b/>
                <w:sz w:val="15"/>
              </w:rPr>
              <w:t xml:space="preserve">Shares </w:t>
            </w:r>
            <w:r>
              <w:rPr>
                <w:rFonts w:ascii="Times New Roman;serif" w:hAnsi="Times New Roman;serif"/>
                <w:b/>
                <w:sz w:val="1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5"/>
              </w:rPr>
            </w:pPr>
            <w:r>
              <w:rPr>
                <w:rFonts w:ascii="Times New Roman;serif" w:hAnsi="Times New Roman;serif"/>
                <w:b/>
                <w:sz w:val="15"/>
              </w:rPr>
              <w:t xml:space="preserve">Shares </w:t>
            </w:r>
            <w:r>
              <w:rPr>
                <w:rFonts w:ascii="Times New Roman;serif" w:hAnsi="Times New Roman;serif"/>
                <w:b/>
                <w:sz w:val="1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b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 comprehensive 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Total </w:t>
              <w:br/>
              <w:t xml:space="preserve">stockholders’ </w:t>
              <w:br/>
              <w:t>equity (deficit)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199,145,285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87,140</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23,442,353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6,521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(62,215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(55,692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Retroactive application (Note 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(152,677,720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(17,972,432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2022,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46,467,565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87,140</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5,469,921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(62,215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(55,692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140,545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92</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in connection with the acquisition of fSight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1,306,385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10,077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resulting from change in fair value of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2023,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46,467,565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6,916,851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(55,305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(38,233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Forfeitures of restricted stock and restricted stock surrendered in lieu of withholding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loss resulting from change in fair value of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preferred stock dividends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1,258,055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preferred stock upon exercise of preferred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193,372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2,008</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Conversion of convertible preferred stock into common stock in connection with the Business Combination (Note 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(47,918,992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47,918,992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87,140</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common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1,491,229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price adjustment in connection with the fSight acquisition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Business Combination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1,818,519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573</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(22,176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58,144,543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120,671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(90,062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30,434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1470" w:type="dxa"/>
        <w:jc w:val="left"/>
        <w:tblInd w:w="0" w:type="dxa"/>
        <w:tblLayout w:type="fixed"/>
        <w:tblCellMar>
          <w:top w:w="28" w:type="dxa"/>
          <w:left w:w="28" w:type="dxa"/>
          <w:bottom w:w="28" w:type="dxa"/>
          <w:right w:w="28" w:type="dxa"/>
        </w:tblCellMar>
      </w:tblPr>
      <w:tblGrid>
        <w:gridCol w:w="1261"/>
        <w:gridCol w:w="146"/>
        <w:gridCol w:w="146"/>
        <w:gridCol w:w="1201"/>
        <w:gridCol w:w="166"/>
        <w:gridCol w:w="146"/>
        <w:gridCol w:w="211"/>
        <w:gridCol w:w="676"/>
        <w:gridCol w:w="146"/>
        <w:gridCol w:w="146"/>
        <w:gridCol w:w="146"/>
        <w:gridCol w:w="146"/>
        <w:gridCol w:w="1096"/>
        <w:gridCol w:w="166"/>
        <w:gridCol w:w="146"/>
        <w:gridCol w:w="276"/>
        <w:gridCol w:w="355"/>
        <w:gridCol w:w="166"/>
        <w:gridCol w:w="146"/>
        <w:gridCol w:w="218"/>
        <w:gridCol w:w="593"/>
        <w:gridCol w:w="146"/>
        <w:gridCol w:w="146"/>
        <w:gridCol w:w="224"/>
        <w:gridCol w:w="512"/>
        <w:gridCol w:w="166"/>
        <w:gridCol w:w="146"/>
        <w:gridCol w:w="211"/>
        <w:gridCol w:w="736"/>
        <w:gridCol w:w="166"/>
        <w:gridCol w:w="146"/>
        <w:gridCol w:w="214"/>
        <w:gridCol w:w="747"/>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68"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 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Convertible 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Notes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5"/>
              </w:rPr>
            </w:pPr>
            <w:r>
              <w:rPr>
                <w:rFonts w:ascii="Times New Roman;serif" w:hAnsi="Times New Roman;serif"/>
                <w:b/>
                <w:sz w:val="15"/>
              </w:rPr>
              <w:t xml:space="preserve">Shares </w:t>
            </w:r>
            <w:r>
              <w:rPr>
                <w:rFonts w:ascii="Times New Roman;serif" w:hAnsi="Times New Roman;serif"/>
                <w:b/>
                <w:sz w:val="1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5"/>
              </w:rPr>
            </w:pPr>
            <w:r>
              <w:rPr>
                <w:rFonts w:ascii="Times New Roman;serif" w:hAnsi="Times New Roman;serif"/>
                <w:b/>
                <w:sz w:val="15"/>
              </w:rPr>
              <w:t xml:space="preserve">Shares </w:t>
            </w:r>
            <w:r>
              <w:rPr>
                <w:rFonts w:ascii="Times New Roman;serif" w:hAnsi="Times New Roman;serif"/>
                <w:b/>
                <w:sz w:val="1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receivable</w:t>
              <w:br/>
              <w:t>from related</w:t>
              <w:br/>
              <w:t> parties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Total </w:t>
              <w:br/>
              <w:t xml:space="preserve">stockholders’ </w:t>
              <w:br/>
              <w:t>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165,578,120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46,370</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20,580,109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(49,896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Retroactive application (Note 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(126,942,949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(15,778,049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2021,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38,635,171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46,370</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4,802,060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(49,896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2022,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38,635,171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46,370</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4,828,857</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5,427</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2"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(60,875</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(55,550</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9,850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Series E,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4,175,321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21,712</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4"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2022, as converted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42,810,492</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68,082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4,838,707</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5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93"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5,459</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12"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(60,697</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4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(55,340</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bidi w:val="0"/>
        <w:spacing w:before="0" w:after="0"/>
        <w:jc w:val="left"/>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pPr>
      <w:r>
        <w:rPr>
          <w:rFonts w:ascii="Times New Roman;serif" w:hAnsi="Times New Roman;serif"/>
          <w:b w:val="false"/>
          <w:sz w:val="16"/>
        </w:rPr>
        <w:t>The shares of the Company’s common and redeemable convertible preferred stock prior to the Business Combination (as defined in Note 1) have been retroactively restated to reflect the exchange ratio of approximately 0.233335</w:t>
      </w:r>
      <w:r>
        <w:rPr/>
        <w:t xml:space="preserve"> </w:t>
      </w:r>
      <w:r>
        <w:rPr>
          <w:rFonts w:ascii="Times New Roman;serif" w:hAnsi="Times New Roman;serif"/>
          <w:b w:val="false"/>
          <w:sz w:val="16"/>
        </w:rPr>
        <w:t>established in the Business Combination as described in Note 3.</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center"/>
        <w:rPr>
          <w:rFonts w:ascii="Times New Roman;serif" w:hAnsi="Times New Roman;serif"/>
          <w:b/>
          <w:sz w:val="20"/>
        </w:rPr>
      </w:pPr>
      <w:bookmarkStart w:id="6" w:name="condensed_consolidated_stmt_of_cash_flow"/>
      <w:bookmarkEnd w:id="6"/>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6482"/>
        <w:gridCol w:w="146"/>
        <w:gridCol w:w="211"/>
        <w:gridCol w:w="736"/>
        <w:gridCol w:w="746"/>
        <w:gridCol w:w="146"/>
        <w:gridCol w:w="211"/>
        <w:gridCol w:w="736"/>
        <w:gridCol w:w="791"/>
      </w:tblGrid>
      <w:tr>
        <w:trPr/>
        <w:tc>
          <w:tcPr>
            <w:tcW w:w="6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(15,266</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Reserve for inventory obsolescence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 in fair value of preferred stock warrant and contingent shares liability</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Deferred tax benefit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(11,147</w:t>
            </w:r>
          </w:p>
        </w:tc>
        <w:tc>
          <w:tcPr>
            <w:tcW w:w="7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interest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Loss on debt extinguishment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3,613</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7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Accretion of interest on marketable securities</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7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648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4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(30,057</w:t>
            </w:r>
          </w:p>
        </w:tc>
        <w:tc>
          <w:tcPr>
            <w:tcW w:w="74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(5,100</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(26,134</w:t>
            </w:r>
          </w:p>
        </w:tc>
        <w:tc>
          <w:tcPr>
            <w:tcW w:w="74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791" w:type="dxa"/>
            <w:tcBorders/>
            <w:vAlign w:val="center"/>
          </w:tcPr>
          <w:p>
            <w:pPr>
              <w:pStyle w:val="TableContents"/>
              <w:bidi w:val="0"/>
              <w:spacing w:before="0" w:after="0"/>
              <w:ind w:left="0" w:right="0" w:firstLine="400"/>
              <w:jc w:val="left"/>
              <w:rPr/>
            </w:pPr>
            <w:r>
              <w:rPr/>
              <w:t> </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746" w:type="dxa"/>
            <w:tcBorders/>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30,254</w:t>
            </w:r>
          </w:p>
        </w:tc>
        <w:tc>
          <w:tcPr>
            <w:tcW w:w="746" w:type="dxa"/>
            <w:tcBorders/>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2,267</w:t>
            </w:r>
          </w:p>
        </w:tc>
        <w:tc>
          <w:tcPr>
            <w:tcW w:w="746" w:type="dxa"/>
            <w:tcBorders/>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791" w:type="dxa"/>
            <w:tcBorders/>
            <w:vAlign w:val="center"/>
          </w:tcPr>
          <w:p>
            <w:pPr>
              <w:pStyle w:val="TableContents"/>
              <w:bidi w:val="0"/>
              <w:spacing w:before="0" w:after="0"/>
              <w:ind w:left="0" w:right="0" w:firstLine="400"/>
              <w:jc w:val="left"/>
              <w:rPr/>
            </w:pPr>
            <w:r>
              <w:rPr/>
              <w:t> </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74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Warranty liability</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w:t>
            </w:r>
          </w:p>
        </w:tc>
        <w:tc>
          <w:tcPr>
            <w:tcW w:w="746" w:type="dxa"/>
            <w:tcBorders/>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791" w:type="dxa"/>
            <w:tcBorders/>
            <w:vAlign w:val="center"/>
          </w:tcPr>
          <w:p>
            <w:pPr>
              <w:pStyle w:val="TableContents"/>
              <w:bidi w:val="0"/>
              <w:spacing w:before="0" w:after="0"/>
              <w:ind w:left="0" w:right="0" w:firstLine="400"/>
              <w:jc w:val="left"/>
              <w:rPr/>
            </w:pPr>
            <w:r>
              <w:rPr/>
              <w:t> </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Deferred rent</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482"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6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(4,934</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(50,221</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fSight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(1,510</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Disposals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482"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6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(52,124</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Convertible Promissory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proceeds from Series 2022-1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(20,833</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Senior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Series E convertible preferred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21,845</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Business Combination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w:t>
            </w:r>
          </w:p>
        </w:tc>
        <w:tc>
          <w:tcPr>
            <w:tcW w:w="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tax withholdings on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482"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6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31,066</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c>
          <w:tcPr>
            <w:tcW w:w="146" w:type="dxa"/>
            <w:tcBorders/>
            <w:vAlign w:val="center"/>
          </w:tcPr>
          <w:p>
            <w:pPr>
              <w:pStyle w:val="TableContents"/>
              <w:bidi w:val="0"/>
              <w:spacing w:before="0" w:after="0"/>
              <w:ind w:left="6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(25,992</w:t>
            </w:r>
          </w:p>
        </w:tc>
        <w:tc>
          <w:tcPr>
            <w:tcW w:w="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26,661</w:t>
            </w:r>
          </w:p>
        </w:tc>
        <w:tc>
          <w:tcPr>
            <w:tcW w:w="791" w:type="dxa"/>
            <w:tcBorders/>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37,717</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11,725</w:t>
            </w:r>
          </w:p>
        </w:tc>
        <w:tc>
          <w:tcPr>
            <w:tcW w:w="7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34,135</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410"/>
        <w:gridCol w:w="346"/>
        <w:gridCol w:w="213"/>
        <w:gridCol w:w="685"/>
        <w:gridCol w:w="370"/>
        <w:gridCol w:w="147"/>
        <w:gridCol w:w="213"/>
        <w:gridCol w:w="426"/>
        <w:gridCol w:w="395"/>
      </w:tblGrid>
      <w:tr>
        <w:trPr/>
        <w:tc>
          <w:tcPr>
            <w:tcW w:w="74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410"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0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Supplemental disclosure of cash flow information:</w:t>
            </w:r>
          </w:p>
        </w:tc>
        <w:tc>
          <w:tcPr>
            <w:tcW w:w="346" w:type="dxa"/>
            <w:tcBorders/>
            <w:vAlign w:val="center"/>
          </w:tcPr>
          <w:p>
            <w:pPr>
              <w:pStyle w:val="TableContents"/>
              <w:bidi w:val="0"/>
              <w:spacing w:before="0" w:after="0"/>
              <w:ind w:left="0" w:right="0" w:firstLine="200"/>
              <w:jc w:val="left"/>
              <w:rPr/>
            </w:pPr>
            <w:r>
              <w:rPr/>
              <w:t> </w:t>
            </w:r>
          </w:p>
        </w:tc>
        <w:tc>
          <w:tcPr>
            <w:tcW w:w="898" w:type="dxa"/>
            <w:gridSpan w:val="2"/>
            <w:tcBorders/>
            <w:vAlign w:val="center"/>
          </w:tcPr>
          <w:p>
            <w:pPr>
              <w:pStyle w:val="TableContents"/>
              <w:bidi w:val="0"/>
              <w:spacing w:before="0" w:after="0"/>
              <w:ind w:left="200" w:right="0" w:hanging="0"/>
              <w:jc w:val="right"/>
              <w:rPr/>
            </w:pPr>
            <w:r>
              <w:rPr/>
              <w:t> </w:t>
            </w:r>
          </w:p>
        </w:tc>
        <w:tc>
          <w:tcPr>
            <w:tcW w:w="370"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Cash paid for interest</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Cash paid for income taxes</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Supplemental schedule of non-cash investing and financing activities:</w:t>
            </w:r>
          </w:p>
        </w:tc>
        <w:tc>
          <w:tcPr>
            <w:tcW w:w="346" w:type="dxa"/>
            <w:tcBorders/>
            <w:vAlign w:val="center"/>
          </w:tcPr>
          <w:p>
            <w:pPr>
              <w:pStyle w:val="TableContents"/>
              <w:bidi w:val="0"/>
              <w:spacing w:before="0" w:after="0"/>
              <w:ind w:left="200" w:right="0" w:hanging="0"/>
              <w:jc w:val="left"/>
              <w:rPr/>
            </w:pPr>
            <w:r>
              <w:rPr/>
              <w:t> </w:t>
            </w:r>
          </w:p>
        </w:tc>
        <w:tc>
          <w:tcPr>
            <w:tcW w:w="898" w:type="dxa"/>
            <w:gridSpan w:val="2"/>
            <w:tcBorders/>
            <w:vAlign w:val="center"/>
          </w:tcPr>
          <w:p>
            <w:pPr>
              <w:pStyle w:val="TableContents"/>
              <w:bidi w:val="0"/>
              <w:spacing w:before="0" w:after="0"/>
              <w:ind w:left="0" w:right="0" w:hanging="0"/>
              <w:jc w:val="right"/>
              <w:rPr/>
            </w:pPr>
            <w:r>
              <w:rPr/>
              <w:t> </w:t>
            </w:r>
          </w:p>
        </w:tc>
        <w:tc>
          <w:tcPr>
            <w:tcW w:w="370" w:type="dxa"/>
            <w:tcBorders/>
            <w:vAlign w:val="center"/>
          </w:tcPr>
          <w:p>
            <w:pPr>
              <w:pStyle w:val="TableContents"/>
              <w:bidi w:val="0"/>
              <w:spacing w:before="0" w:after="0"/>
              <w:ind w:left="0" w:right="0" w:firstLine="200"/>
              <w:jc w:val="right"/>
              <w:rPr/>
            </w:pPr>
            <w:r>
              <w:rPr/>
              <w:t> </w:t>
            </w:r>
          </w:p>
        </w:tc>
        <w:tc>
          <w:tcPr>
            <w:tcW w:w="147" w:type="dxa"/>
            <w:tcBorders/>
            <w:vAlign w:val="center"/>
          </w:tcPr>
          <w:p>
            <w:pPr>
              <w:pStyle w:val="TableContents"/>
              <w:bidi w:val="0"/>
              <w:spacing w:before="0" w:after="0"/>
              <w:ind w:left="200" w:right="0" w:hanging="0"/>
              <w:jc w:val="left"/>
              <w:rPr/>
            </w:pPr>
            <w:r>
              <w:rPr/>
              <w:t> </w:t>
            </w:r>
          </w:p>
        </w:tc>
        <w:tc>
          <w:tcPr>
            <w:tcW w:w="63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Financing costs in accounts payable and accrued expenses</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assets acquired from Roth CH Acquisition IV Co.</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Operating lease right of use assets obtained in exchange for operating lease liabilities</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Property plant and equipment in accounts payable</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Non-cash consideration paid for the acquisition of fSight</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10,974</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Contingent shares liability from fSight acquisition</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Fair value of derivative note liability at issuance</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23,525</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Convertible preferred stock dividends (Note 3)</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12,581</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Reclassification of deferred issuance costs to additional paid in capital</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2,221</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Conversion of convertible preferred stock into common stock in connection with the Business Combination (Note 3)</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87,140</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Issuance of preferred stock upon exercise of preferred warrants</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41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Unrealized loss resulting from change in fair value of marketable securities</w:t>
            </w:r>
          </w:p>
        </w:tc>
        <w:tc>
          <w:tcPr>
            <w:tcW w:w="346"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370"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20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serif" w:hAnsi="Times New Roman;serif"/>
          <w:b/>
          <w:sz w:val="20"/>
        </w:rPr>
        <w:t>TIGO ENERGY, INC. AND SUBSIDIARIES</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bookmarkStart w:id="7" w:name="notes_to_consolidated_condensed_fin_stmt"/>
      <w:bookmarkEnd w:id="7"/>
      <w:r>
        <w:rPr>
          <w:rFonts w:ascii="Times New Roman;serif" w:hAnsi="Times New Roman;serif"/>
          <w:b/>
          <w:sz w:val="20"/>
        </w:rPr>
        <w:t>NOTES TO CONSOLIDATED CONDENSED FINANCIAL STATEMENTS</w:t>
      </w:r>
    </w:p>
    <w:p>
      <w:pPr>
        <w:pStyle w:val="TextBody"/>
        <w:bidi w:val="0"/>
        <w:spacing w:before="12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both"/>
        <w:rPr>
          <w:rFonts w:ascii="Times New Roman" w:hAnsi="Times New Roman"/>
          <w:b/>
          <w:sz w:val="20"/>
        </w:rPr>
      </w:pPr>
      <w:r>
        <w:rPr>
          <w:rFonts w:ascii="Times New Roman" w:hAnsi="Times New Roman"/>
          <w:b/>
          <w:sz w:val="20"/>
        </w:rPr>
        <w:t>1.</w:t>
      </w:r>
    </w:p>
    <w:p>
      <w:pPr>
        <w:pStyle w:val="TextBody"/>
        <w:bidi w:val="0"/>
        <w:spacing w:before="240" w:after="283"/>
        <w:jc w:val="both"/>
        <w:rPr>
          <w:rFonts w:ascii="Times New Roman;serif" w:hAnsi="Times New Roman;serif"/>
          <w:b/>
          <w:sz w:val="20"/>
        </w:rPr>
      </w:pPr>
      <w:r>
        <w:rPr>
          <w:rFonts w:ascii="Times New Roman;serif" w:hAnsi="Times New Roman;serif"/>
          <w:b/>
          <w:sz w:val="20"/>
        </w:rPr>
        <w:t xml:space="preserve">Nature of Operations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Tigo Energy, Inc. (f/k/a Roth CH Acquisition IV Co.) and subsidiaries (together, the “Company”) consists of Tigo Energy, Inc. (“Tigo”), its wholly-owned direct subsidiary: Tigo Energy MergeCo, Inc. (f/k/a Tigo Energy, Inc.) (“Legacy Tigo”), and its wholly-owned indirect subsidiaries: Tigo Energy Israel Ltd., Foresight Energy, Ltd. (“fSight”), Tigo Energy Italy SRL, Tigo Energy Systems Trading (Suzhou)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and the Middle East.</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Entry into a Material Definitive Agreement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120" w:after="0"/>
        <w:jc w:val="both"/>
        <w:rPr>
          <w:rFonts w:ascii="Times New Roman" w:hAnsi="Times New Roman"/>
          <w:sz w:val="20"/>
        </w:rPr>
      </w:pPr>
      <w:r>
        <w:rPr>
          <w:rFonts w:ascii="Times New Roman;serif" w:hAnsi="Times New Roman;serif"/>
          <w:b w:val="false"/>
          <w:sz w:val="20"/>
        </w:rPr>
        <w:t>Please refer to Note 3 “Merger with ROTH CH Acquisition IV Co.” for additional details regarding the Business Combination.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Business Combination, have been retroactively restated as shares reflecting the exchange ratio established in the Business Combination.</w:t>
      </w:r>
      <w:r>
        <w:rPr>
          <w:rFonts w:ascii="Times New Roman" w:hAnsi="Times New Roman"/>
          <w:sz w:val="20"/>
        </w:rPr>
        <w:t xml:space="preserve"> </w:t>
      </w:r>
      <w:r>
        <w:rPr>
          <w:rFonts w:ascii="Times New Roman;serif" w:hAnsi="Times New Roman;serif"/>
          <w:b w:val="false"/>
          <w:sz w:val="20"/>
        </w:rPr>
        <w:t>Please refer to Note 3 “Merger with ROTH CH Acquisition IV Co.” for additional details regarding the Business Combination.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consolidated financial position as of June 30, 2023 and its consolidated results of operations, cash flows, and convertible preferred stock and changes in stockholders’ equity for the six months ended June 30, 2023 and 2022. Operating results for the six months ended June 30, 2023, are not necessarily indicative of the results that may be expected for the full year ending December 31, 2023. The unaudited condensed consolidated financial statements, presented herein, do not contain all of the required disclosures under GAAP for annual consolidated financial statements. The condensed consolidated balance sheet as of December 31, 2022, has been derived from the audited consolidated balance sheet as of that date. The accompanying unaudited condensed consolidated financial statements should be read in conjunction with the annual audited consolidated financial statements and related notes thereto for the year ended December 31, 2022.</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360" w:after="0"/>
        <w:jc w:val="both"/>
        <w:rPr>
          <w:rFonts w:ascii="Times New Roman" w:hAnsi="Times New Roman"/>
          <w:b/>
          <w:sz w:val="20"/>
        </w:rPr>
      </w:pPr>
      <w:r>
        <w:rPr>
          <w:rFonts w:ascii="Times New Roman" w:hAnsi="Times New Roman"/>
          <w:b/>
          <w:sz w:val="20"/>
        </w:rPr>
        <w:t>2.</w:t>
      </w:r>
    </w:p>
    <w:p>
      <w:pPr>
        <w:pStyle w:val="TextBody"/>
        <w:bidi w:val="0"/>
        <w:spacing w:before="360" w:after="283"/>
        <w:jc w:val="both"/>
        <w:rPr>
          <w:rFonts w:ascii="Times New Roman;serif" w:hAnsi="Times New Roman;serif"/>
          <w:b/>
          <w:sz w:val="20"/>
        </w:rPr>
      </w:pPr>
      <w:r>
        <w:rPr>
          <w:rFonts w:ascii="Times New Roman;serif" w:hAnsi="Times New Roman;serif"/>
          <w:b/>
          <w:sz w:val="20"/>
        </w:rPr>
        <w:t xml:space="preserve">Summary of Significant Accounting Policies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significant accounting policies are described in Note 2 to its audited consolidated financial statements for the year ended December 31, 2022, which are included in the Company's Form S-1 filed with the SEC on June 22, 2023.</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Emerging Growth Company Status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240" w:after="0"/>
        <w:jc w:val="left"/>
        <w:rPr>
          <w:rFonts w:ascii="Times New Roman" w:hAnsi="Times New Roman"/>
          <w:sz w:val="20"/>
        </w:rPr>
      </w:pPr>
      <w:r>
        <w:rPr>
          <w:rFonts w:ascii="Times New Roman;serif" w:hAnsi="Times New Roman;serif"/>
          <w:b w:val="false"/>
          <w:i/>
          <w:sz w:val="20"/>
        </w:rPr>
        <w:t>Basis of Consolidation</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condensed consolidated financial statements include the accounts of Tigo and its wholly-owned subsidiaries: Tigo Energy Israel Ltd. and Foresight Energy, Ltd. (“fSight”) which are incorporated in Israel, in addition to Tigo Energy Italy SRL and Tigo Energy Systems Trading (Suzhou) Company, Limited which are incorporated in Italy and China, respectively. All intercompany transactions and balances have been eliminated in consolidation. The Company has determined the functional currency of the subsidiaries to be the United States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expense, net in the condensed consolidated statements of operations and comprehensive loss and were not material for the three and six months ended June 30, 2023.</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Use of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information and various other assumptions that are believed to be reasonable under the circumstances. Examples of such estimates include, among other things, the valuation of share-based awards, the recoverability of long-lived assets, the assessment of intangible assets and goodwill for impairment, the determination of the incremental borrowing rate for operating leases, provisions for warranty and expected credit losses, inventory obsolescence, sales returns, future price concessions, fair value of the derivative liability and tax contingencies and valuation allowances as well the estimated useful lives of property, plant and equipment and acquired intangible assets. Actual results may materially differ from these estimates. On an ongoing basis, the Company reviews its estimates to ensure that these estimates appropriately reflect changes in its business or new information as it becomes available.</w:t>
      </w:r>
    </w:p>
    <w:p>
      <w:pPr>
        <w:pStyle w:val="TextBody"/>
        <w:bidi w:val="0"/>
        <w:spacing w:before="240" w:after="0"/>
        <w:jc w:val="left"/>
        <w:rPr>
          <w:rFonts w:ascii="Times New Roman" w:hAnsi="Times New Roman"/>
          <w:sz w:val="20"/>
        </w:rPr>
      </w:pPr>
      <w:r>
        <w:rPr>
          <w:rFonts w:ascii="Times New Roman;serif" w:hAnsi="Times New Roman;serif"/>
          <w:b w:val="false"/>
          <w:i/>
          <w:sz w:val="20"/>
        </w:rPr>
        <w:t>Reclassification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Certain prior period amounts in the condensed consolidated financial statements and accompanying notes have been reclassified to conform to the current period's presentation as follows. Customer deposits in previous periods were</w:t>
      </w:r>
      <w:r>
        <w:rPr>
          <w:rFonts w:ascii="Times New Roman" w:hAnsi="Times New Roman"/>
          <w:sz w:val="20"/>
        </w:rPr>
        <w:t xml:space="preserve"> </w:t>
      </w:r>
      <w:r>
        <w:rPr>
          <w:rFonts w:ascii="Times New Roman;serif" w:hAnsi="Times New Roman;serif"/>
          <w:b w:val="false"/>
          <w:sz w:val="20"/>
        </w:rPr>
        <w:t>recorded in other accrued liabilities within the condensed consolidated balance sheet. Customer deposits are now recorded in deferred revenue, current portion and deferred revenue, net of current portion within the condensed consolidated balance sheet.</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Marketable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marketable securities consist of investments in U.S. agency securities and corporate bonds that are classified as available-for-sale. The securities are carried at fair value with the unrealized gains and losses included in other comprehensive loss, a component of stockholders’ deficit. Realized gains, losses, and declines in value determined to be other than temporary are included in the Company’s condensed consolidated statements of operations and comprehensive loss. If any adjustment to fair value reflects a decline in the value of the investment that the Company considers to be “other than temporary,” the Company reduces the investment to fair value through a charge to the condensed consolidated statements of operations and comprehensive loss. No such adjustments were necessary during the periods presented.</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Business Combinations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accounts for business combinations under </w:t>
      </w:r>
      <w:r>
        <w:rPr>
          <w:rFonts w:ascii="Times New Roman;serif" w:hAnsi="Times New Roman;serif"/>
          <w:b w:val="false"/>
          <w:i/>
          <w:sz w:val="20"/>
        </w:rPr>
        <w:t>ASC Topic 805, Business Combinations</w:t>
      </w:r>
      <w:r>
        <w:rPr>
          <w:rFonts w:ascii="Times New Roman" w:hAnsi="Times New Roman"/>
          <w:sz w:val="20"/>
        </w:rPr>
        <w:t xml:space="preserve"> </w:t>
      </w:r>
      <w:r>
        <w:rPr>
          <w:rFonts w:ascii="Times New Roman;serif" w:hAnsi="Times New Roman;serif"/>
          <w:b w:val="false"/>
          <w:sz w:val="20"/>
        </w:rPr>
        <w:t>using the acquisition method of accounting, and accordingly, the assets and liabilities of the acquired business are recorded at their fair values at the date of acquisition.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fair values assigned, defined as the price that would be received to sell an asset or paid to transfer a liability in an orderly transaction between willing market participants, are based on estimates and assumptions determined by management. These valuations require the Company to make significant estimates and assumptions, especially with respect to intangible assets. Significant estimates in valuing certain intangible assets include, but are not limited to, future expected cash flows from acquired customer relationships and developed technology, royalty rates, and discount rates. The Company records the excess consideration over the aggregate fair value of tangible and intangible assets, net of liabilities assumed, as goodwill. All acquisition costs are expensed as incurred. Upon acquisition, the accounts and results of operations are included as of and subsequent to the acquisition date.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If the initial accounting for a business combination is incomplete by the end of a reporting period that falls within the measurement period, the Company reports provisional amounts in the condensed consolidated financial statements. During the measurement period, the provisional amounts recognized at the acquisition date will be adjusted to reflect new information obtained about facts and circumstances that existed as of the acquisition date that, if known, would have affected the measurement of the amounts recognized as of that date and the Company records those adjustments in the condensed consolidated financial statements.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Goodwill and Intangible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Goodwill represents the excess of the purchase price over the identifiable tangible and intangible assets acquired in addition to liabilities assumed arising from the acquisition of fSight. Initially the Company measures goodwill based upon the value of the consideration paid plus or minus net assets assumed. The goodwill arising from the Company's acquisition is attributable to the value of the potential expanded market opportunity with new customers.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Intangible assets have either an identifiable or indefinite useful life. Intangible assets are recorded at cost or when acquired as part of a business combination at estimated fair value. Intangible assets with identifiable useful lives are amortized on a straight-line basis over their economic or legal life, whichever is shorter. The Company's amortizable intangible assets consist primarily of patents, trade names, developed technology, and customer relationships. The useful life of these intangible assets ranges from 3 to 10 years.</w:t>
      </w:r>
    </w:p>
    <w:p>
      <w:pPr>
        <w:pStyle w:val="TextBody"/>
        <w:bidi w:val="0"/>
        <w:spacing w:before="120" w:after="0"/>
        <w:jc w:val="both"/>
        <w:rPr>
          <w:rFonts w:ascii="Times New Roman" w:hAnsi="Times New Roman"/>
          <w:sz w:val="20"/>
        </w:rPr>
      </w:pPr>
      <w:r>
        <w:rPr>
          <w:rFonts w:ascii="Times New Roman;serif" w:hAnsi="Times New Roman;serif"/>
          <w:b w:val="false"/>
          <w:sz w:val="20"/>
        </w:rPr>
        <w:t>Goodwill is not amortized but is subject to annual impairment testing unless circumstances dictate more frequent assessments. The Company will perform an annual impairment assessment for goodwill and more frequently whenever events or changes in circumstances indicate that the fair value of the asset may be less than the carrying amount.</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Common Stock Warrants</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Business Combination, the Company assumed 5,750,000</w:t>
      </w:r>
      <w:r>
        <w:rPr>
          <w:rFonts w:ascii="Times New Roman" w:hAnsi="Times New Roman"/>
          <w:sz w:val="20"/>
        </w:rPr>
        <w:t xml:space="preserve"> </w:t>
      </w:r>
      <w:r>
        <w:rPr>
          <w:rFonts w:ascii="Times New Roman;serif" w:hAnsi="Times New Roman;serif"/>
          <w:b w:val="false"/>
          <w:sz w:val="20"/>
        </w:rPr>
        <w:t>warrants originally issued as part of ROCG’s units in ROCG’s initial public offering (the “Public Warrants”) and 18,750</w:t>
      </w:r>
      <w:r>
        <w:rPr>
          <w:rFonts w:ascii="Times New Roman" w:hAnsi="Times New Roman"/>
          <w:sz w:val="20"/>
        </w:rPr>
        <w:t xml:space="preserve"> </w:t>
      </w:r>
      <w:r>
        <w:rPr>
          <w:rFonts w:ascii="Times New Roman;serif" w:hAnsi="Times New Roman;serif"/>
          <w:b w:val="false"/>
          <w:sz w:val="20"/>
        </w:rPr>
        <w:t>warrants issued to the initial stockholders of ROCG in a private placement in connection with ROCG’s initial public offering (the “Private Warrants” and, together with the Public Warrants, the “Warrants”), which, in each case, entitle the holder to purchase one share</w:t>
      </w:r>
      <w:r>
        <w:rPr>
          <w:rFonts w:ascii="Times New Roman" w:hAnsi="Times New Roman"/>
          <w:sz w:val="20"/>
        </w:rPr>
        <w:t xml:space="preserve"> </w:t>
      </w:r>
      <w:r>
        <w:rPr>
          <w:rFonts w:ascii="Times New Roman;serif" w:hAnsi="Times New Roman;serif"/>
          <w:b w:val="false"/>
          <w:sz w:val="20"/>
        </w:rPr>
        <w:t>of the Company's common stock, par value $0.0001</w:t>
      </w:r>
      <w:r>
        <w:rPr>
          <w:rFonts w:ascii="Times New Roman" w:hAnsi="Times New Roman"/>
          <w:sz w:val="20"/>
        </w:rPr>
        <w:t xml:space="preserve"> </w:t>
      </w:r>
      <w:r>
        <w:rPr>
          <w:rFonts w:ascii="Times New Roman;serif" w:hAnsi="Times New Roman;serif"/>
          <w:b w:val="false"/>
          <w:sz w:val="20"/>
        </w:rPr>
        <w:t>per share (the “Common Stock”), at an exercise price of $11.50</w:t>
      </w:r>
      <w:r>
        <w:rPr>
          <w:rFonts w:ascii="Times New Roman" w:hAnsi="Times New Roman"/>
          <w:sz w:val="20"/>
        </w:rPr>
        <w:t xml:space="preserve"> </w:t>
      </w:r>
      <w:r>
        <w:rPr>
          <w:rFonts w:ascii="Times New Roman;serif" w:hAnsi="Times New Roman;serif"/>
          <w:b w:val="false"/>
          <w:sz w:val="20"/>
        </w:rPr>
        <w:t xml:space="preserve">per share. The Warrants become exercisable 30 days after the closing of the Business Combination and upon the filing of an effective registration statement with the SEC. If an effective registration statement is not filed within 120 days, the warrants shall become exercisable on a cashless basis. The Warrants will expire five years from the closing of the Business Combination. Except with respect to certain registration rights and transfer restrictions, the Private Warrants are identical to the Public Warrants. The Company has analyzed the Warrants and determined they are considered to be freestanding instruments and do not exhibit any of the characteristics in </w:t>
      </w:r>
      <w:r>
        <w:rPr>
          <w:rFonts w:ascii="Times New Roman;serif" w:hAnsi="Times New Roman;serif"/>
          <w:b w:val="false"/>
          <w:i/>
          <w:sz w:val="20"/>
        </w:rPr>
        <w:t>ASC 480</w:t>
      </w:r>
      <w:r>
        <w:rPr>
          <w:rFonts w:ascii="Times New Roman" w:hAnsi="Times New Roman"/>
          <w:sz w:val="20"/>
        </w:rPr>
        <w:t xml:space="preserve"> </w:t>
      </w:r>
      <w:r>
        <w:rPr>
          <w:rFonts w:ascii="Times New Roman;serif" w:hAnsi="Times New Roman;serif"/>
          <w:b w:val="false"/>
          <w:sz w:val="20"/>
        </w:rPr>
        <w:t xml:space="preserve">and therefore are not classified as liabilities under </w:t>
      </w:r>
      <w:r>
        <w:rPr>
          <w:rFonts w:ascii="Times New Roman;serif" w:hAnsi="Times New Roman;serif"/>
          <w:b w:val="false"/>
          <w:i/>
          <w:sz w:val="20"/>
        </w:rPr>
        <w:t>ASC 480</w:t>
      </w:r>
      <w:r>
        <w:rPr>
          <w:rFonts w:ascii="Times New Roman;serif" w:hAnsi="Times New Roman;serif"/>
          <w:b w:val="false"/>
          <w:sz w:val="20"/>
        </w:rPr>
        <w:t>. During the three and six months ended June 30, 2023, there were no</w:t>
      </w:r>
      <w:r>
        <w:rPr>
          <w:rFonts w:ascii="Times New Roman" w:hAnsi="Times New Roman"/>
          <w:sz w:val="20"/>
        </w:rPr>
        <w:t xml:space="preserve"> </w:t>
      </w:r>
      <w:r>
        <w:rPr>
          <w:rFonts w:ascii="Times New Roman;serif" w:hAnsi="Times New Roman;serif"/>
          <w:b w:val="false"/>
          <w:sz w:val="20"/>
        </w:rPr>
        <w:t>exercises of the Warrants.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Convertible Debt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analyzes its convertible debt instruments for embedded attributes that may require bifurcation from the host and accounted for as derivatives. At the inception of each instrument and at each reporting date, the Company performs an analysis of the embedded features requiring bifurcation and may elect, if eligible, to account for the entire debt instrument at fair value. If the fair value option were to be elected, any changes in fair value would be recognized in the accompanying statements of operations until the instrument is settled. For the convertible promissory notes, the Company performed a reassessment of embedded features requiring bifurcation upon the Business Combination and concluded that the convertible promissory notes include conversion options that require bifurcation.</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Derivative Instruments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convertible promissory notes contain conversion options that are derivative instruments. The conversion options meet the requirements for separate accounting and are accounted for as a derivative liability. The derivative instrument is recorded at fair value upon recognition and are subject to remeasurement to fair value at each balance sheet date, with any changes in estimated fair value recognized in the accompanying consolidated statements of operations and comprehensive loss. Please refer to Note 9 “Long-term Debt” for additional details regarding the derivative instrument.</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Recently Adopted Accounting Pronouncements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June 2016, the FASB issued </w:t>
      </w:r>
      <w:r>
        <w:rPr>
          <w:rFonts w:ascii="Times New Roman;serif" w:hAnsi="Times New Roman;serif"/>
          <w:b w:val="false"/>
          <w:i/>
          <w:sz w:val="20"/>
        </w:rPr>
        <w:t>ASU No. 2016-13, Financial Instruments - Credit Losses</w:t>
      </w:r>
      <w:r>
        <w:rPr>
          <w:rFonts w:ascii="Times New Roman;serif" w:hAnsi="Times New Roman;serif"/>
          <w:b w:val="false"/>
          <w:sz w:val="20"/>
        </w:rPr>
        <w:t>, which requires financial assets measured at amortized cost basis to be presented at the net amount expected to be collected. This standard is effective for fiscal years beginning after December 15, 2022. The Company adopted the guidance using the modified retrospective approach as of January 1, 2023, which resulted in no cumulative effect adjustment to accumulated deficit and did not have a material impact on the Company’s condensed consolidated financial statements.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February 2016, the FASB issued </w:t>
      </w:r>
      <w:r>
        <w:rPr>
          <w:rFonts w:ascii="Times New Roman;serif" w:hAnsi="Times New Roman;serif"/>
          <w:b w:val="false"/>
          <w:i/>
          <w:sz w:val="20"/>
        </w:rPr>
        <w:t>ASU No. 2016-02, Leases</w:t>
      </w:r>
      <w:r>
        <w:rPr>
          <w:rFonts w:ascii="Times New Roman;serif" w:hAnsi="Times New Roman;serif"/>
          <w:b w:val="false"/>
          <w:sz w:val="20"/>
        </w:rPr>
        <w:t xml:space="preserve">,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for reporting periods beginning after December 15, 2021, and interim periods within fiscal years beginning after December 15, 2022. The Company adopted annual reporting the guidance using the modified retrospective approach to apply the standard as of January 1, 2022, with no retrospective adjustments to prior periods on the Company’s annual consolidated financial statements and related notes thereto for the year ended December 31, 2022. As permitted under the new guidance, the Company elected the package of practical expedients, which allowed the Company to retain prior conclusions regarding lease identification, classification and initial direct costs. For the Company’s lease agreements with lease and non-lease components, the Company elected the practical expedient to account for these as a single lease component for all underlying classes of assets. Additionally, for short-term leases with an initial lease term of 12 months or less and with purchase options the Company is not reasonably certain will be exercised, the Company elected to not record ROU assets or corresponding lease liabilities on the Company’s consolidated balance sheet. See Note 13, </w:t>
      </w:r>
      <w:r>
        <w:rPr>
          <w:rFonts w:ascii="Times New Roman" w:hAnsi="Times New Roman"/>
          <w:sz w:val="20"/>
        </w:rPr>
        <w:t>“</w:t>
      </w:r>
      <w:r>
        <w:rPr>
          <w:rFonts w:ascii="Times New Roman;serif" w:hAnsi="Times New Roman;serif"/>
          <w:b w:val="false"/>
          <w:sz w:val="20"/>
        </w:rPr>
        <w:t>Leases</w:t>
      </w:r>
      <w:r>
        <w:rPr>
          <w:rFonts w:ascii="Times New Roman" w:hAnsi="Times New Roman"/>
          <w:sz w:val="20"/>
        </w:rPr>
        <w:t xml:space="preserve">” </w:t>
      </w:r>
      <w:r>
        <w:rPr>
          <w:rFonts w:ascii="Times New Roman;serif" w:hAnsi="Times New Roman;serif"/>
          <w:b w:val="false"/>
          <w:sz w:val="20"/>
        </w:rPr>
        <w:t>for additional information on the Company's leases following the adoption of this standard.</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August 2020, the FASB issued ASU Update No. 2020-06, </w:t>
      </w:r>
      <w:r>
        <w:rPr>
          <w:rFonts w:ascii="Times New Roman;serif" w:hAnsi="Times New Roman;serif"/>
          <w:b w:val="false"/>
          <w:i/>
          <w:sz w:val="20"/>
        </w:rPr>
        <w:t xml:space="preserve">Debt — Debt with Conversion and Other Options (Subtopic 470-20) and Derivatives and Hedging — Contracts in Entity’s Own Equity (Subtopic 815-40): Accounting for Convertible Instruments and Contracts in an Entity’s Own Equity (ASU 2020-06) </w:t>
      </w:r>
      <w:r>
        <w:rPr>
          <w:rFonts w:ascii="Times New Roman;serif" w:hAnsi="Times New Roman;serif"/>
          <w:b w:val="false"/>
          <w:sz w:val="20"/>
        </w:rPr>
        <w:t>(“ASU 2020-06”)</w:t>
      </w:r>
      <w:r>
        <w:rPr>
          <w:rFonts w:ascii="Times New Roman;serif" w:hAnsi="Times New Roman;serif"/>
          <w:b w:val="false"/>
          <w:i/>
          <w:sz w:val="20"/>
        </w:rPr>
        <w:t xml:space="preserve">. </w:t>
      </w:r>
      <w:r>
        <w:rPr>
          <w:rFonts w:ascii="Times New Roman;serif" w:hAnsi="Times New Roman;serif"/>
          <w:b w:val="false"/>
          <w:sz w:val="20"/>
        </w:rPr>
        <w:t>The goal of the ASU 2020-06 is to simplify the complexity associated with applying GAAP for certain financial instruments with characteristics of liabilities and equity. More specifically, the amendments focus on the guidance for convertible instruments and derivative scope exception for contracts in an entity’s own equity. The new standard is effective for fiscal years beginning after December 15, 2021, including interim periods within those fiscal years. Early adoption is permitted, but no earlier than fiscal years beginning after December 15, 2020, including interim periods within those fiscal years. Entities may adopt the guidance through either a modified retrospective method or full retrospective method. The Company adopted ASU 2020-06 on January 1, 2023, and determined the impact upon adoption to the consolidated financial statements is immaterial.</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December 2019, the FASB issued </w:t>
      </w:r>
      <w:r>
        <w:rPr>
          <w:rFonts w:ascii="Times New Roman;serif" w:hAnsi="Times New Roman;serif"/>
          <w:b w:val="false"/>
          <w:i/>
          <w:sz w:val="20"/>
        </w:rPr>
        <w:t>ASU No. 2019-12, “Income Taxes (Topic 740): Simplifying the Accounting for Income Taxes.</w:t>
      </w:r>
      <w:r>
        <w:rPr>
          <w:rFonts w:ascii="Times New Roman" w:hAnsi="Times New Roman"/>
          <w:sz w:val="20"/>
        </w:rPr>
        <w:t xml:space="preserve">” </w:t>
      </w:r>
      <w:r>
        <w:rPr>
          <w:rFonts w:ascii="Times New Roman;serif" w:hAnsi="Times New Roman;serif"/>
          <w:b w:val="false"/>
          <w:sz w:val="20"/>
        </w:rPr>
        <w:t xml:space="preserve">This ASU removes specific exceptions to the general principles in </w:t>
      </w:r>
      <w:r>
        <w:rPr>
          <w:rFonts w:ascii="Times New Roman;serif" w:hAnsi="Times New Roman;serif"/>
          <w:b w:val="false"/>
          <w:i/>
          <w:sz w:val="20"/>
        </w:rPr>
        <w:t>ASC Topic 740, “Accounting for Income Taxes”</w:t>
      </w:r>
      <w:r>
        <w:rPr>
          <w:rFonts w:ascii="Times New Roman" w:hAnsi="Times New Roman"/>
          <w:sz w:val="20"/>
        </w:rPr>
        <w:t xml:space="preserve"> </w:t>
      </w:r>
      <w:r>
        <w:rPr>
          <w:rFonts w:ascii="Times New Roman;serif" w:hAnsi="Times New Roman;serif"/>
          <w:b w:val="false"/>
          <w:sz w:val="20"/>
        </w:rPr>
        <w:t xml:space="preserve">(“Topic 740”) and simplifies certain GAAP requirements. </w:t>
      </w:r>
      <w:r>
        <w:rPr>
          <w:rFonts w:ascii="Times New Roman;serif" w:hAnsi="Times New Roman;serif"/>
          <w:b w:val="false"/>
          <w:i/>
          <w:sz w:val="20"/>
        </w:rPr>
        <w:t xml:space="preserve">ASU 2019-12 </w:t>
      </w:r>
      <w:r>
        <w:rPr>
          <w:rFonts w:ascii="Times New Roman;serif" w:hAnsi="Times New Roman;serif"/>
          <w:b w:val="false"/>
          <w:sz w:val="20"/>
        </w:rPr>
        <w:t>is effective for non-public business entities' interim periods within those fiscal years, beginning after December 15, 2022. Depending on the amendment, adoption may be applied on a retrospective, modified retrospective or prospective basis. The Company adopted ASU 2019-12 on January 1, 2022, and determined the impact upon adoption to the consolidated financial statements is immaterial.</w:t>
      </w:r>
      <w:r>
        <w:rPr>
          <w:rFonts w:ascii="Times New Roman" w:hAnsi="Times New Roman"/>
          <w:sz w:val="20"/>
        </w:rPr>
        <w:t xml:space="preserve"> </w:t>
      </w:r>
    </w:p>
    <w:p>
      <w:pPr>
        <w:pStyle w:val="TextBody"/>
        <w:bidi w:val="0"/>
        <w:spacing w:before="360" w:after="0"/>
        <w:jc w:val="both"/>
        <w:rPr>
          <w:rFonts w:ascii="Times New Roman" w:hAnsi="Times New Roman"/>
          <w:b/>
          <w:sz w:val="20"/>
        </w:rPr>
      </w:pPr>
      <w:r>
        <w:rPr>
          <w:rFonts w:ascii="Times New Roman" w:hAnsi="Times New Roman"/>
          <w:b/>
          <w:sz w:val="20"/>
        </w:rPr>
        <w:t>3.</w:t>
      </w:r>
    </w:p>
    <w:p>
      <w:pPr>
        <w:pStyle w:val="TextBody"/>
        <w:bidi w:val="0"/>
        <w:spacing w:before="360" w:after="283"/>
        <w:jc w:val="both"/>
        <w:rPr>
          <w:rFonts w:ascii="Times New Roman;serif" w:hAnsi="Times New Roman;serif"/>
          <w:b/>
          <w:sz w:val="20"/>
        </w:rPr>
      </w:pPr>
      <w:r>
        <w:rPr>
          <w:rFonts w:ascii="Times New Roman;serif" w:hAnsi="Times New Roman;serif"/>
          <w:b/>
          <w:sz w:val="20"/>
        </w:rPr>
        <w:t>Merger with Roth CH Acquisition IV Co.</w:t>
      </w:r>
    </w:p>
    <w:p>
      <w:pPr>
        <w:pStyle w:val="TextBody"/>
        <w:bidi w:val="0"/>
        <w:spacing w:before="120" w:after="0"/>
        <w:jc w:val="both"/>
        <w:rPr>
          <w:rFonts w:ascii="Times New Roman" w:hAnsi="Times New Roman"/>
          <w:sz w:val="20"/>
        </w:rPr>
      </w:pPr>
      <w:r>
        <w:rPr>
          <w:rFonts w:ascii="Times New Roman;serif" w:hAnsi="Times New Roman;serif"/>
          <w:b w:val="false"/>
          <w:sz w:val="20"/>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w:t>
      </w:r>
      <w:r>
        <w:rPr>
          <w:rFonts w:ascii="Times New Roman" w:hAnsi="Times New Roman"/>
          <w:sz w:val="20"/>
        </w:rPr>
        <w:t xml:space="preserve"> </w:t>
      </w:r>
      <w:r>
        <w:rPr>
          <w:rFonts w:ascii="Times New Roman;serif" w:hAnsi="Times New Roman;serif"/>
          <w:b w:val="false"/>
          <w:sz w:val="20"/>
        </w:rPr>
        <w:t xml:space="preserve">(the </w:t>
      </w:r>
      <w:r>
        <w:rPr>
          <w:rFonts w:ascii="Times New Roman" w:hAnsi="Times New Roman"/>
          <w:sz w:val="20"/>
        </w:rPr>
        <w:t>“</w:t>
      </w:r>
      <w:r>
        <w:rPr>
          <w:rFonts w:ascii="Times New Roman;serif" w:hAnsi="Times New Roman;serif"/>
          <w:b w:val="false"/>
          <w:sz w:val="20"/>
        </w:rPr>
        <w:t>Exchange Ratio”) to affect the reverse recapitalization.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part of the reverse recapitalization, Legacy Tigo acquired $2.2</w:t>
      </w:r>
      <w:r>
        <w:rPr>
          <w:rFonts w:ascii="Times New Roman" w:hAnsi="Times New Roman"/>
          <w:sz w:val="20"/>
        </w:rPr>
        <w:t xml:space="preserve"> </w:t>
      </w:r>
      <w:r>
        <w:rPr>
          <w:rFonts w:ascii="Times New Roman;serif" w:hAnsi="Times New Roman;serif"/>
          <w:b w:val="false"/>
          <w:sz w:val="20"/>
        </w:rPr>
        <w:t>million of cash, $0.6</w:t>
      </w:r>
      <w:r>
        <w:rPr>
          <w:rFonts w:ascii="Times New Roman" w:hAnsi="Times New Roman"/>
          <w:sz w:val="20"/>
        </w:rPr>
        <w:t xml:space="preserve"> </w:t>
      </w:r>
      <w:r>
        <w:rPr>
          <w:rFonts w:ascii="Times New Roman;serif" w:hAnsi="Times New Roman;serif"/>
          <w:b w:val="false"/>
          <w:sz w:val="20"/>
        </w:rPr>
        <w:t>million of prepaid expenses and insurance and assumed $3,400</w:t>
      </w:r>
      <w:r>
        <w:rPr>
          <w:rFonts w:ascii="Times New Roman" w:hAnsi="Times New Roman"/>
          <w:sz w:val="20"/>
        </w:rPr>
        <w:t xml:space="preserve"> </w:t>
      </w:r>
      <w:r>
        <w:rPr>
          <w:rFonts w:ascii="Times New Roman;serif" w:hAnsi="Times New Roman;serif"/>
          <w:b w:val="false"/>
          <w:sz w:val="20"/>
        </w:rPr>
        <w:t>of accrued expenses and $61,000</w:t>
      </w:r>
      <w:r>
        <w:rPr>
          <w:rFonts w:ascii="Times New Roman" w:hAnsi="Times New Roman"/>
          <w:sz w:val="20"/>
        </w:rPr>
        <w:t xml:space="preserve"> </w:t>
      </w:r>
      <w:r>
        <w:rPr>
          <w:rFonts w:ascii="Times New Roman;serif" w:hAnsi="Times New Roman;serif"/>
          <w:b w:val="false"/>
          <w:sz w:val="20"/>
        </w:rPr>
        <w:t>of income tax payable. The Company incurred $6.1</w:t>
      </w:r>
      <w:r>
        <w:rPr>
          <w:rFonts w:ascii="Times New Roman" w:hAnsi="Times New Roman"/>
          <w:sz w:val="20"/>
        </w:rPr>
        <w:t xml:space="preserve"> </w:t>
      </w:r>
      <w:r>
        <w:rPr>
          <w:rFonts w:ascii="Times New Roman;serif" w:hAnsi="Times New Roman;serif"/>
          <w:b w:val="false"/>
          <w:sz w:val="20"/>
        </w:rPr>
        <w:t>million in transaction costs relating to the Business Combination, which were charged directly to additional paid in capital to the extent of cash received. Transaction costs in excess of cash acquired of $3.9</w:t>
      </w:r>
      <w:r>
        <w:rPr>
          <w:rFonts w:ascii="Times New Roman" w:hAnsi="Times New Roman"/>
          <w:sz w:val="20"/>
        </w:rPr>
        <w:t xml:space="preserve"> </w:t>
      </w:r>
      <w:r>
        <w:rPr>
          <w:rFonts w:ascii="Times New Roman;serif" w:hAnsi="Times New Roman;serif"/>
          <w:b w:val="false"/>
          <w:sz w:val="20"/>
        </w:rPr>
        <w:t>million were charged to general and administrative expenses.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Immediately prior to the closing of the Business Combination:</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w:t>
      </w:r>
      <w:r>
        <w:rPr>
          <w:rFonts w:ascii="Times New Roman;serif" w:hAnsi="Times New Roman;serif"/>
          <w:sz w:val="20"/>
        </w:rPr>
        <w:t xml:space="preserve"> </w:t>
      </w:r>
      <w:r>
        <w:rPr>
          <w:rFonts w:ascii="Times New Roman;serif" w:hAnsi="Times New Roman;serif"/>
          <w:b w:val="false"/>
          <w:sz w:val="20"/>
        </w:rPr>
        <w:t>basis and additional shares of Legacy Tigo common stock were issued to settle the accumulated dividend to the Series E and Series D convertible preferred stockholders of $12.6</w:t>
      </w:r>
      <w:r>
        <w:rPr>
          <w:rFonts w:ascii="Times New Roman;serif" w:hAnsi="Times New Roman;serif"/>
          <w:sz w:val="20"/>
        </w:rPr>
        <w:t xml:space="preserve"> </w:t>
      </w:r>
      <w:r>
        <w:rPr>
          <w:rFonts w:ascii="Times New Roman;serif" w:hAnsi="Times New Roman;serif"/>
          <w:b w:val="false"/>
          <w:sz w:val="20"/>
        </w:rPr>
        <w:t>million;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common warrants net of exercise were converted into an equivalent number of shares of Legacy Tigo common stock on a one-to-one basis;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all preferred warrants net of exercise were converted into an equivalent number of shares of Legacy Tigo preferred stock on a one-to-one basis, and subsequently converted into an equivalent number of shares of Legacy Tigo common stock on a one-to-one basis.</w:t>
      </w:r>
    </w:p>
    <w:p>
      <w:pPr>
        <w:pStyle w:val="TextBody"/>
        <w:bidi w:val="0"/>
        <w:spacing w:before="120" w:after="0"/>
        <w:jc w:val="both"/>
        <w:rPr>
          <w:rFonts w:ascii="Times New Roman" w:hAnsi="Times New Roman"/>
          <w:sz w:val="20"/>
        </w:rPr>
      </w:pPr>
      <w:r>
        <w:rPr>
          <w:rFonts w:ascii="Times New Roman;serif" w:hAnsi="Times New Roman;serif"/>
          <w:b w:val="false"/>
          <w:sz w:val="20"/>
        </w:rPr>
        <w:t>At the effective time of the Business Combination, each share of Legacy Tigo common stock issued and outstanding immediately prior to the closing (including the shares of Legacy Tigo common stock issued in connection with the foregoing) were canceled and converted into the right to receive a pro rata portion of the merger consideration based on the Exchange Ratio.</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Immediately following the Business Combination, there were 58,144,543</w:t>
      </w:r>
      <w:r>
        <w:rPr>
          <w:rFonts w:ascii="Times New Roman" w:hAnsi="Times New Roman"/>
          <w:sz w:val="20"/>
        </w:rPr>
        <w:t xml:space="preserve"> </w:t>
      </w:r>
      <w:r>
        <w:rPr>
          <w:rFonts w:ascii="Times New Roman;serif" w:hAnsi="Times New Roman;serif"/>
          <w:b w:val="false"/>
          <w:sz w:val="20"/>
        </w:rPr>
        <w:t>shares of Common Stock issued and outstanding, options to purchase an aggregate of 4,358,301</w:t>
      </w:r>
      <w:r>
        <w:rPr>
          <w:rFonts w:ascii="Times New Roman" w:hAnsi="Times New Roman"/>
          <w:sz w:val="20"/>
        </w:rPr>
        <w:t xml:space="preserve"> </w:t>
      </w:r>
      <w:r>
        <w:rPr>
          <w:rFonts w:ascii="Times New Roman;serif" w:hAnsi="Times New Roman;serif"/>
          <w:b w:val="false"/>
          <w:sz w:val="20"/>
        </w:rPr>
        <w:t>shares of Common Stock and 5,768,750</w:t>
      </w:r>
      <w:r>
        <w:rPr>
          <w:rFonts w:ascii="Times New Roman" w:hAnsi="Times New Roman"/>
          <w:sz w:val="20"/>
        </w:rPr>
        <w:t xml:space="preserve"> </w:t>
      </w:r>
      <w:r>
        <w:rPr>
          <w:rFonts w:ascii="Times New Roman;serif" w:hAnsi="Times New Roman;serif"/>
          <w:b w:val="false"/>
          <w:sz w:val="20"/>
        </w:rPr>
        <w:t>warrants outstanding to purchase shares of Common Stock.</w:t>
      </w:r>
    </w:p>
    <w:p>
      <w:pPr>
        <w:pStyle w:val="TextBody"/>
        <w:bidi w:val="0"/>
        <w:spacing w:before="360" w:after="0"/>
        <w:jc w:val="both"/>
        <w:rPr>
          <w:rFonts w:ascii="Times New Roman" w:hAnsi="Times New Roman"/>
          <w:b/>
          <w:sz w:val="20"/>
        </w:rPr>
      </w:pPr>
      <w:r>
        <w:rPr>
          <w:rFonts w:ascii="Times New Roman" w:hAnsi="Times New Roman"/>
          <w:b/>
          <w:sz w:val="20"/>
        </w:rPr>
        <w:t>4.</w:t>
      </w:r>
    </w:p>
    <w:p>
      <w:pPr>
        <w:pStyle w:val="TextBody"/>
        <w:bidi w:val="0"/>
        <w:spacing w:before="360" w:after="283"/>
        <w:jc w:val="both"/>
        <w:rPr>
          <w:rFonts w:ascii="Times New Roman;serif" w:hAnsi="Times New Roman;serif"/>
          <w:b/>
          <w:sz w:val="20"/>
        </w:rPr>
      </w:pPr>
      <w:r>
        <w:rPr>
          <w:rFonts w:ascii="Times New Roman;serif" w:hAnsi="Times New Roman;serif"/>
          <w:b/>
          <w:sz w:val="20"/>
        </w:rPr>
        <w:t>Acquisition of Foresight Energy, Ltd.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January 25, 2023 (“Acquisition Closing Date”), Legacy Tigo acquired 100% of the equity interests of fSight. The results of fSight’s operations have been included in the condensed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terms of the purchase agreement, total consideration amounted to $13.1</w:t>
      </w:r>
      <w:r>
        <w:rPr>
          <w:rFonts w:ascii="Times New Roman" w:hAnsi="Times New Roman"/>
          <w:sz w:val="20"/>
        </w:rPr>
        <w:t xml:space="preserve"> </w:t>
      </w:r>
      <w:r>
        <w:rPr>
          <w:rFonts w:ascii="Times New Roman;serif" w:hAnsi="Times New Roman;serif"/>
          <w:b w:val="false"/>
          <w:sz w:val="20"/>
        </w:rPr>
        <w:t>million which consisted of 5,598,751</w:t>
      </w:r>
      <w:r>
        <w:rPr>
          <w:rFonts w:ascii="Times New Roman" w:hAnsi="Times New Roman"/>
          <w:sz w:val="20"/>
        </w:rPr>
        <w:t xml:space="preserve"> </w:t>
      </w:r>
      <w:r>
        <w:rPr>
          <w:rFonts w:ascii="Times New Roman;serif" w:hAnsi="Times New Roman;serif"/>
          <w:b w:val="false"/>
          <w:sz w:val="20"/>
        </w:rPr>
        <w:t>shares of Legacy Tigo's common stock issued at closing with a fair value of approximately $11.0</w:t>
      </w:r>
      <w:r>
        <w:rPr>
          <w:rFonts w:ascii="Times New Roman" w:hAnsi="Times New Roman"/>
          <w:sz w:val="20"/>
        </w:rPr>
        <w:t xml:space="preserve"> </w:t>
      </w:r>
      <w:r>
        <w:rPr>
          <w:rFonts w:ascii="Times New Roman;serif" w:hAnsi="Times New Roman;serif"/>
          <w:b w:val="false"/>
          <w:sz w:val="20"/>
        </w:rPr>
        <w:t>million, 172,022</w:t>
      </w:r>
      <w:r>
        <w:rPr>
          <w:rFonts w:ascii="Times New Roman" w:hAnsi="Times New Roman"/>
          <w:sz w:val="20"/>
        </w:rPr>
        <w:t xml:space="preserve"> </w:t>
      </w:r>
      <w:r>
        <w:rPr>
          <w:rFonts w:ascii="Times New Roman;serif" w:hAnsi="Times New Roman;serif"/>
          <w:b w:val="false"/>
          <w:sz w:val="20"/>
        </w:rPr>
        <w:t>shares of Legacy Tigo's common stock with a fair value of approximately $1.4</w:t>
      </w:r>
      <w:r>
        <w:rPr>
          <w:rFonts w:ascii="Times New Roman" w:hAnsi="Times New Roman"/>
          <w:sz w:val="20"/>
        </w:rPr>
        <w:t xml:space="preserve"> </w:t>
      </w:r>
      <w:r>
        <w:rPr>
          <w:rFonts w:ascii="Times New Roman;serif" w:hAnsi="Times New Roman;serif"/>
          <w:b w:val="false"/>
          <w:sz w:val="20"/>
        </w:rPr>
        <w:t>million to be issued 12 months from closing and 86,011</w:t>
      </w:r>
      <w:r>
        <w:rPr>
          <w:rFonts w:ascii="Times New Roman" w:hAnsi="Times New Roman"/>
          <w:sz w:val="20"/>
        </w:rPr>
        <w:t xml:space="preserve"> </w:t>
      </w:r>
      <w:r>
        <w:rPr>
          <w:rFonts w:ascii="Times New Roman;serif" w:hAnsi="Times New Roman;serif"/>
          <w:b w:val="false"/>
          <w:sz w:val="20"/>
        </w:rPr>
        <w:t>shares of Legacy Tigo's common stock with a fair value of approximately $0.7</w:t>
      </w:r>
      <w:r>
        <w:rPr>
          <w:rFonts w:ascii="Times New Roman" w:hAnsi="Times New Roman"/>
          <w:sz w:val="20"/>
        </w:rPr>
        <w:t xml:space="preserve"> </w:t>
      </w:r>
      <w:r>
        <w:rPr>
          <w:rFonts w:ascii="Times New Roman;serif" w:hAnsi="Times New Roman;serif"/>
          <w:b w:val="false"/>
          <w:sz w:val="20"/>
        </w:rPr>
        <w:t>million to be issued 18 months from closing (collectively with the shares to be issued at 12 months “Contingent Shares”). In addition to the consideration in the purchase agreement, there is an additional $0.5</w:t>
      </w:r>
      <w:r>
        <w:rPr>
          <w:rFonts w:ascii="Times New Roman" w:hAnsi="Times New Roman"/>
          <w:sz w:val="20"/>
        </w:rPr>
        <w:t xml:space="preserve"> </w:t>
      </w:r>
      <w:r>
        <w:rPr>
          <w:rFonts w:ascii="Times New Roman;serif" w:hAnsi="Times New Roman;serif"/>
          <w:b w:val="false"/>
          <w:sz w:val="20"/>
        </w:rPr>
        <w:t>million in consideration related to a loan that the Company issued to fSight prior to the Acquisition Closing Date, for a total consideration transferred of $13.7</w:t>
      </w:r>
      <w:r>
        <w:rPr>
          <w:rFonts w:ascii="Times New Roman" w:hAnsi="Times New Roman"/>
          <w:sz w:val="20"/>
        </w:rPr>
        <w:t xml:space="preserve"> </w:t>
      </w:r>
      <w:r>
        <w:rPr>
          <w:rFonts w:ascii="Times New Roman;serif" w:hAnsi="Times New Roman;serif"/>
          <w:b w:val="false"/>
          <w:sz w:val="20"/>
        </w:rPr>
        <w:t>million. The loan payable was deemed settled immediately following the Acquisition Closing Date.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contingent shares were recorded as a liability at a fair value of approximately $2.1</w:t>
      </w:r>
      <w:r>
        <w:rPr>
          <w:rFonts w:ascii="Times New Roman" w:hAnsi="Times New Roman"/>
          <w:sz w:val="20"/>
        </w:rPr>
        <w:t xml:space="preserve"> </w:t>
      </w:r>
      <w:r>
        <w:rPr>
          <w:rFonts w:ascii="Times New Roman;serif" w:hAnsi="Times New Roman;serif"/>
          <w:b w:val="false"/>
          <w:sz w:val="20"/>
        </w:rPr>
        <w:t>million on the Acquisition Closing Date based on the fair value of Legacy Tigo's common stock at the Acquisition Closing Date. The current portion of the contingent shares liability is recorded in accrued expenses and other current liabilities and the non-current portion of the contingent shares liability is recorded in other long-term liabilities financial statement line items within the condensed consolidated balance sheet. At June 30, 2023, the liability was revalued to $4.8</w:t>
      </w:r>
      <w:r>
        <w:rPr>
          <w:rFonts w:ascii="Times New Roman" w:hAnsi="Times New Roman"/>
          <w:sz w:val="20"/>
        </w:rPr>
        <w:t xml:space="preserve"> </w:t>
      </w:r>
      <w:r>
        <w:rPr>
          <w:rFonts w:ascii="Times New Roman;serif" w:hAnsi="Times New Roman;serif"/>
          <w:b w:val="false"/>
          <w:sz w:val="20"/>
        </w:rPr>
        <w:t>million based upon Legacy Tigo's common stock fair value per share on June 30, 2023. The current portion of the contingent shares liability and non-current portion of the contingent shares liability were fair valued at $3.2</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respectively, as of June 30, 2023. The $2.2</w:t>
      </w:r>
      <w:r>
        <w:rPr>
          <w:rFonts w:ascii="Times New Roman" w:hAnsi="Times New Roman"/>
          <w:sz w:val="20"/>
        </w:rPr>
        <w:t xml:space="preserve"> </w:t>
      </w:r>
      <w:r>
        <w:rPr>
          <w:rFonts w:ascii="Times New Roman;serif" w:hAnsi="Times New Roman;serif"/>
          <w:b w:val="false"/>
          <w:sz w:val="20"/>
        </w:rPr>
        <w:t>million and $2.4</w:t>
      </w:r>
      <w:r>
        <w:rPr>
          <w:rFonts w:ascii="Times New Roman" w:hAnsi="Times New Roman"/>
          <w:sz w:val="20"/>
        </w:rPr>
        <w:t xml:space="preserve"> </w:t>
      </w:r>
      <w:r>
        <w:rPr>
          <w:rFonts w:ascii="Times New Roman;serif" w:hAnsi="Times New Roman;serif"/>
          <w:b w:val="false"/>
          <w:sz w:val="20"/>
        </w:rPr>
        <w:t>million mark to market expense was recorded in the change in fair value of preferred stock warrant and contingent share liability financial statement line item within the condensed consolidated statement of operation and comprehensive loss for the three and six months ended June 30, 2023, respectively.</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transaction was accounted for as a business combination pursuant to </w:t>
      </w:r>
      <w:r>
        <w:rPr>
          <w:rFonts w:ascii="Times New Roman;serif" w:hAnsi="Times New Roman;serif"/>
          <w:b w:val="false"/>
          <w:i/>
          <w:sz w:val="20"/>
        </w:rPr>
        <w:t>ASC Topic 805, Business Combinations</w:t>
      </w:r>
      <w:r>
        <w:rPr>
          <w:rFonts w:ascii="Times New Roman;serif" w:hAnsi="Times New Roman;serif"/>
          <w:b w:val="false"/>
          <w:sz w:val="20"/>
        </w:rPr>
        <w:t>, using the acquisition method of accounting and in conjunction with the acquisition, Legacy Tigo recognized $47,000</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 of acquisition-related costs during the three and six months ended June 30, 2023, which were expensed as incurred and are recorded in general and administrative expenses on the condensed consolidated statement of operations and comprehensive loss.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provisional fair values of the identifiable assets acquired and liabilities assumed at the date of the acquisition:</w:t>
      </w:r>
    </w:p>
    <w:p>
      <w:pPr>
        <w:pStyle w:val="TextBody"/>
        <w:bidi w:val="0"/>
        <w:spacing w:before="0" w:after="0"/>
        <w:jc w:val="both"/>
        <w:rPr/>
      </w:pPr>
      <w:r>
        <w:rPr/>
        <w:t> </w:t>
      </w:r>
    </w:p>
    <w:tbl>
      <w:tblPr>
        <w:tblW w:w="5474" w:type="dxa"/>
        <w:jc w:val="left"/>
        <w:tblInd w:w="0" w:type="dxa"/>
        <w:tblLayout w:type="fixed"/>
        <w:tblCellMar>
          <w:top w:w="28" w:type="dxa"/>
          <w:left w:w="28" w:type="dxa"/>
          <w:bottom w:w="28" w:type="dxa"/>
          <w:right w:w="28" w:type="dxa"/>
        </w:tblCellMar>
      </w:tblPr>
      <w:tblGrid>
        <w:gridCol w:w="2971"/>
        <w:gridCol w:w="146"/>
        <w:gridCol w:w="385"/>
        <w:gridCol w:w="1235"/>
        <w:gridCol w:w="146"/>
        <w:gridCol w:w="5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At January 25,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Consideration transferred </w:t>
            </w:r>
            <w:r>
              <w:rPr>
                <w:rFonts w:ascii="Times New Roman;serif" w:hAnsi="Times New Roman;serif"/>
                <w:b/>
                <w:sz w:val="13"/>
              </w:rPr>
              <w:t>(1)</w:t>
            </w: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common stock issued</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10,974</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contingent shares</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Deemed settlement of loan payable</w:t>
            </w:r>
          </w:p>
        </w:tc>
        <w:tc>
          <w:tcPr>
            <w:tcW w:w="146" w:type="dxa"/>
            <w:tcBorders/>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9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consideration</w:t>
            </w:r>
          </w:p>
        </w:tc>
        <w:tc>
          <w:tcPr>
            <w:tcW w:w="146" w:type="dxa"/>
            <w:tcBorders/>
            <w:vAlign w:val="center"/>
          </w:tcPr>
          <w:p>
            <w:pPr>
              <w:pStyle w:val="TableContents"/>
              <w:bidi w:val="0"/>
              <w:spacing w:before="0" w:after="0"/>
              <w:ind w:left="0" w:right="0" w:hanging="0"/>
              <w:jc w:val="left"/>
              <w:rPr/>
            </w:pPr>
            <w:r>
              <w:rPr/>
              <w:t> </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 Acquired</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9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 acquired</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15,250</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Assumed</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The reported provisional amounts presented above have been updated from the Company's S-1 filed with the SEC on June 22, 2023. The Company recorded an out of period adjustment related to the adjustment of the provisional fair market value of the Legacy Tigo common stock that was used to develop the calculation of the purchase price consideration. The Company does not believe that the adjustment had a material impact on its condensed consolidated statements of operations and comprehensive loss, condensed consolidated balance sheets, or condensed consolidated statements of cash flows in any periods previously reported.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amounts above represent the Company’s provisional fair value estimates related to the acquisition as of January 25, 2023, and are subject to subsequent adjustments as additional information is obtained during the applicable measurement period. The primary areas of estimates that are not yet finalized include certain tangible assets acquired and liabilities assumed, as well as the identifiable intangible assets. The purchase price was allocated to the tangible assets and identifiable intangible assets acquired and liabilities assumed based on their acquisition date estimated fair values. Accounts receivable and property and equipment acquired were not material in size or scope, and the carrying amounts of these assets represented their fair value. The identifiable intangible assets consist of developed technology and customer relationships which were assigned fair values of approximately $1.8</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The developed technology and customer relationships are all being amortized on a straight-line basis over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Goodwill represents the excess of the purchase price over the identifiable tangible and intangible assets acquired in addition to liabilities assumed arising from the business combination.</w:t>
      </w:r>
      <w:r>
        <w:rPr>
          <w:rFonts w:ascii="Times New Roman" w:hAnsi="Times New Roman"/>
          <w:sz w:val="20"/>
        </w:rPr>
        <w:t xml:space="preserve"> </w:t>
      </w:r>
      <w:r>
        <w:rPr>
          <w:rFonts w:ascii="Times New Roman;serif" w:hAnsi="Times New Roman;serif"/>
          <w:b w:val="false"/>
          <w:sz w:val="20"/>
        </w:rPr>
        <w:t>The Company believes the goodwill related to the acquisition was attributable to the expected synergies, value of the assembled workforce, and the collective experience of the management team with regards to its operations, customers, and industry. As a non-taxable stock acquisition, the value attributable to the acquired intangibles and goodwill are not tax deductible.</w:t>
      </w:r>
    </w:p>
    <w:p>
      <w:pPr>
        <w:pStyle w:val="TextBody"/>
        <w:bidi w:val="0"/>
        <w:spacing w:before="240" w:after="0"/>
        <w:jc w:val="left"/>
        <w:rPr>
          <w:rFonts w:ascii="Times New Roman;serif" w:hAnsi="Times New Roman;serif"/>
          <w:b/>
          <w:sz w:val="20"/>
        </w:rPr>
      </w:pPr>
      <w:r>
        <w:rPr>
          <w:rFonts w:ascii="Times New Roman;serif" w:hAnsi="Times New Roman;serif"/>
          <w:b/>
          <w:sz w:val="20"/>
        </w:rPr>
        <w:t>Supplemental Pro Forma Information (Unaudited)</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presents supplemental pro-forma information for the three and six months ended June 30, 2023, and 2022 as if the merger with fSight had occurred on January 1, 2022. These amounts have been calculated after applying the Company's accounting policies and are based upon currently available information.</w:t>
      </w:r>
      <w:r>
        <w:rPr>
          <w:rFonts w:ascii="Times New Roman" w:hAnsi="Times New Roman"/>
          <w:sz w:val="20"/>
        </w:rPr>
        <w:t xml:space="preserve"> </w:t>
      </w:r>
    </w:p>
    <w:p>
      <w:pPr>
        <w:pStyle w:val="TextBody"/>
        <w:bidi w:val="0"/>
        <w:spacing w:before="0" w:after="0"/>
        <w:jc w:val="both"/>
        <w:rPr/>
      </w:pPr>
      <w:r>
        <w:rPr/>
        <w:t> </w:t>
      </w:r>
    </w:p>
    <w:tbl>
      <w:tblPr>
        <w:tblW w:w="6474" w:type="dxa"/>
        <w:jc w:val="left"/>
        <w:tblInd w:w="0" w:type="dxa"/>
        <w:tblLayout w:type="fixed"/>
        <w:tblCellMar>
          <w:top w:w="28" w:type="dxa"/>
          <w:left w:w="28" w:type="dxa"/>
          <w:bottom w:w="28" w:type="dxa"/>
          <w:right w:w="28" w:type="dxa"/>
        </w:tblCellMar>
      </w:tblPr>
      <w:tblGrid>
        <w:gridCol w:w="1171"/>
        <w:gridCol w:w="146"/>
        <w:gridCol w:w="222"/>
        <w:gridCol w:w="777"/>
        <w:gridCol w:w="175"/>
        <w:gridCol w:w="154"/>
        <w:gridCol w:w="222"/>
        <w:gridCol w:w="713"/>
        <w:gridCol w:w="166"/>
        <w:gridCol w:w="146"/>
        <w:gridCol w:w="211"/>
        <w:gridCol w:w="781"/>
        <w:gridCol w:w="166"/>
        <w:gridCol w:w="146"/>
        <w:gridCol w:w="211"/>
        <w:gridCol w:w="676"/>
        <w:gridCol w:w="3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revenues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68,894</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27,700</w:t>
            </w:r>
          </w:p>
        </w:tc>
        <w:tc>
          <w:tcPr>
            <w:tcW w:w="391" w:type="dxa"/>
            <w:tcBorders/>
            <w:vAlign w:val="center"/>
          </w:tcPr>
          <w:p>
            <w:pPr>
              <w:pStyle w:val="TableContents"/>
              <w:bidi w:val="0"/>
              <w:spacing w:before="0" w:after="0"/>
              <w:ind w:left="0" w:right="0" w:firstLine="200"/>
              <w:jc w:val="left"/>
              <w:rPr/>
            </w:pPr>
            <w:r>
              <w:rPr/>
              <w:t> </w:t>
            </w:r>
          </w:p>
        </w:tc>
      </w:tr>
      <w:tr>
        <w:trPr/>
        <w:tc>
          <w:tcPr>
            <w:tcW w:w="1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(22,322</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Supplemental Information of Operating Results</w:t>
      </w:r>
    </w:p>
    <w:p>
      <w:pPr>
        <w:pStyle w:val="TextBody"/>
        <w:bidi w:val="0"/>
        <w:spacing w:before="120" w:after="0"/>
        <w:jc w:val="both"/>
        <w:rPr>
          <w:rFonts w:ascii="Times New Roman" w:hAnsi="Times New Roman"/>
          <w:sz w:val="20"/>
        </w:rPr>
      </w:pPr>
      <w:r>
        <w:rPr>
          <w:rFonts w:ascii="Times New Roman;serif" w:hAnsi="Times New Roman;serif"/>
          <w:b w:val="false"/>
          <w:sz w:val="20"/>
        </w:rPr>
        <w:t>For the three months ended June 30, 2023, the Company’s condensed consolidated statement of operations included net revenues of $0.2</w:t>
      </w:r>
      <w:r>
        <w:rPr>
          <w:rFonts w:ascii="Times New Roman" w:hAnsi="Times New Roman"/>
          <w:sz w:val="20"/>
        </w:rPr>
        <w:t xml:space="preserve"> </w:t>
      </w:r>
      <w:r>
        <w:rPr>
          <w:rFonts w:ascii="Times New Roman;serif" w:hAnsi="Times New Roman;serif"/>
          <w:b w:val="false"/>
          <w:sz w:val="20"/>
        </w:rPr>
        <w:t>million and a net loss of $0.3</w:t>
      </w:r>
      <w:r>
        <w:rPr>
          <w:rFonts w:ascii="Times New Roman" w:hAnsi="Times New Roman"/>
          <w:sz w:val="20"/>
        </w:rPr>
        <w:t xml:space="preserve"> </w:t>
      </w:r>
      <w:r>
        <w:rPr>
          <w:rFonts w:ascii="Times New Roman;serif" w:hAnsi="Times New Roman;serif"/>
          <w:b w:val="false"/>
          <w:sz w:val="20"/>
        </w:rPr>
        <w:t>million attributable to fSight. For the six months ended June 30, 2023, the Company’s condensed consolidated statement of operations included net revenues of $0.2</w:t>
      </w:r>
      <w:r>
        <w:rPr>
          <w:rFonts w:ascii="Times New Roman" w:hAnsi="Times New Roman"/>
          <w:sz w:val="20"/>
        </w:rPr>
        <w:t xml:space="preserve"> </w:t>
      </w:r>
      <w:r>
        <w:rPr>
          <w:rFonts w:ascii="Times New Roman;serif" w:hAnsi="Times New Roman;serif"/>
          <w:b w:val="false"/>
          <w:sz w:val="20"/>
        </w:rPr>
        <w:t>million and a net loss of $0.6</w:t>
      </w:r>
      <w:r>
        <w:rPr>
          <w:rFonts w:ascii="Times New Roman" w:hAnsi="Times New Roman"/>
          <w:sz w:val="20"/>
        </w:rPr>
        <w:t xml:space="preserve"> </w:t>
      </w:r>
      <w:r>
        <w:rPr>
          <w:rFonts w:ascii="Times New Roman;serif" w:hAnsi="Times New Roman;serif"/>
          <w:b w:val="false"/>
          <w:sz w:val="20"/>
        </w:rPr>
        <w:t>million attributable to fSight.</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5.</w:t>
      </w:r>
    </w:p>
    <w:p>
      <w:pPr>
        <w:pStyle w:val="TextBody"/>
        <w:bidi w:val="0"/>
        <w:spacing w:before="360" w:after="283"/>
        <w:jc w:val="left"/>
        <w:rPr>
          <w:rFonts w:ascii="Times New Roman;serif" w:hAnsi="Times New Roman;serif"/>
          <w:b/>
          <w:sz w:val="20"/>
        </w:rPr>
      </w:pPr>
      <w:r>
        <w:rPr>
          <w:rFonts w:ascii="Times New Roman;serif" w:hAnsi="Times New Roman;serif"/>
          <w:b/>
          <w:sz w:val="20"/>
        </w:rPr>
        <w:t>Net Loss Per Share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Basic net loss per share of common stock is computed by dividing net loss attributable to common stockholders by the weighted-average number of shares of common stock outstanding during each period, without consideration for potential dilutive shares of common stock.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which include convertible preferred stock.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two-class method, net loss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 In periods in which the Company reports a net loss, diluted net loss per share is the same as basic net loss per share since dilutive shares are not assumed to have been issued if their effect is antidilutive. Therefore, the weighted-average shares used to calculate both basic and diluted net loss per share are the same.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potentially dilutive securities have been excluded from the computation of diluted weighted-average shares of common stock outstanding, as they would be anti-dilutive:</w:t>
      </w:r>
    </w:p>
    <w:p>
      <w:pPr>
        <w:pStyle w:val="TextBody"/>
        <w:bidi w:val="0"/>
        <w:spacing w:before="0" w:after="0"/>
        <w:jc w:val="left"/>
        <w:rPr/>
      </w:pPr>
      <w:r>
        <w:rPr/>
        <w:t> </w:t>
      </w:r>
    </w:p>
    <w:tbl>
      <w:tblPr>
        <w:tblW w:w="6154" w:type="dxa"/>
        <w:jc w:val="left"/>
        <w:tblInd w:w="0" w:type="dxa"/>
        <w:tblLayout w:type="fixed"/>
        <w:tblCellMar>
          <w:top w:w="28" w:type="dxa"/>
          <w:left w:w="28" w:type="dxa"/>
          <w:bottom w:w="28" w:type="dxa"/>
          <w:right w:w="28" w:type="dxa"/>
        </w:tblCellMar>
      </w:tblPr>
      <w:tblGrid>
        <w:gridCol w:w="3061"/>
        <w:gridCol w:w="146"/>
        <w:gridCol w:w="146"/>
        <w:gridCol w:w="1036"/>
        <w:gridCol w:w="146"/>
        <w:gridCol w:w="146"/>
        <w:gridCol w:w="146"/>
        <w:gridCol w:w="1036"/>
        <w:gridCol w:w="2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preferred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42,810,491</w:t>
            </w:r>
          </w:p>
        </w:tc>
        <w:tc>
          <w:tcPr>
            <w:tcW w:w="29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preferred stock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276,641</w:t>
            </w:r>
          </w:p>
        </w:tc>
        <w:tc>
          <w:tcPr>
            <w:tcW w:w="29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5,768,750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1,915,372</w:t>
            </w:r>
          </w:p>
        </w:tc>
        <w:tc>
          <w:tcPr>
            <w:tcW w:w="29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4,608,671</w:t>
            </w:r>
          </w:p>
        </w:tc>
        <w:tc>
          <w:tcPr>
            <w:tcW w:w="29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related to convertible note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5,454,545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061"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10,418,614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49,611,175</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60" w:after="0"/>
        <w:jc w:val="both"/>
        <w:rPr>
          <w:rFonts w:ascii="Times New Roman" w:hAnsi="Times New Roman"/>
          <w:b/>
          <w:sz w:val="20"/>
        </w:rPr>
      </w:pPr>
      <w:r>
        <w:rPr>
          <w:rFonts w:ascii="Times New Roman" w:hAnsi="Times New Roman"/>
          <w:b/>
          <w:sz w:val="20"/>
        </w:rPr>
        <w:t>6.</w:t>
      </w:r>
    </w:p>
    <w:p>
      <w:pPr>
        <w:pStyle w:val="TextBody"/>
        <w:bidi w:val="0"/>
        <w:spacing w:before="160" w:after="283"/>
        <w:jc w:val="both"/>
        <w:rPr>
          <w:rFonts w:ascii="Times New Roman;serif" w:hAnsi="Times New Roman;serif"/>
          <w:b/>
          <w:sz w:val="20"/>
        </w:rPr>
      </w:pPr>
      <w:r>
        <w:rPr>
          <w:rFonts w:ascii="Times New Roman;serif" w:hAnsi="Times New Roman;serif"/>
          <w:b/>
          <w:sz w:val="20"/>
        </w:rPr>
        <w:t>Fair Value of Financial Instruments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Fair Value Measurements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Level 1:</w:t>
            </w:r>
          </w:p>
        </w:tc>
        <w:tc>
          <w:tcPr>
            <w:tcW w:w="9562"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Quoted market prices in active markets for identical assets or liabilities;</w:t>
            </w:r>
            <w:r>
              <w:rPr>
                <w:rFonts w:ascii="Times New Roman" w:hAnsi="Times New Roman"/>
                <w:sz w:val="20"/>
              </w:rPr>
              <w:t xml:space="preserve"> </w:t>
            </w:r>
          </w:p>
        </w:tc>
      </w:tr>
      <w:tr>
        <w:trPr/>
        <w:tc>
          <w:tcPr>
            <w:tcW w:w="643" w:type="dxa"/>
            <w:tcBorders/>
            <w:tcMar>
              <w:top w:w="0" w:type="dxa"/>
              <w:left w:w="0" w:type="dxa"/>
              <w:bottom w:w="0" w:type="dxa"/>
              <w:right w:w="0" w:type="dxa"/>
            </w:tcMar>
            <w:vAlign w:val="center"/>
          </w:tcPr>
          <w:p>
            <w:pPr>
              <w:pStyle w:val="TableContents"/>
              <w:bidi w:val="0"/>
              <w:spacing w:before="120" w:after="0"/>
              <w:ind w:left="0" w:right="0" w:hanging="0"/>
              <w:jc w:val="center"/>
              <w:rPr>
                <w:rFonts w:ascii="Times New Roman;serif" w:hAnsi="Times New Roman;serif"/>
                <w:b w:val="false"/>
                <w:i/>
                <w:sz w:val="20"/>
              </w:rPr>
            </w:pPr>
            <w:r>
              <w:rPr>
                <w:rFonts w:ascii="Times New Roman;serif" w:hAnsi="Times New Roman;serif"/>
                <w:b w:val="false"/>
                <w:i/>
                <w:sz w:val="20"/>
              </w:rPr>
              <w:t>Level 2:</w:t>
            </w:r>
          </w:p>
        </w:tc>
        <w:tc>
          <w:tcPr>
            <w:tcW w:w="9562" w:type="dxa"/>
            <w:tcBorders/>
            <w:tcMar>
              <w:top w:w="0" w:type="dxa"/>
              <w:left w:w="0" w:type="dxa"/>
              <w:bottom w:w="0" w:type="dxa"/>
              <w:right w:w="0" w:type="dxa"/>
            </w:tcMar>
            <w:vAlign w:val="center"/>
          </w:tcPr>
          <w:p>
            <w:pPr>
              <w:pStyle w:val="TableContents"/>
              <w:bidi w:val="0"/>
              <w:spacing w:before="120" w:after="0"/>
              <w:ind w:left="0" w:right="0" w:hanging="0"/>
              <w:jc w:val="both"/>
              <w:rPr>
                <w:rFonts w:ascii="Times New Roman" w:hAnsi="Times New Roman"/>
                <w:sz w:val="20"/>
              </w:rPr>
            </w:pPr>
            <w:r>
              <w:rPr>
                <w:rFonts w:ascii="Times New Roman;serif" w:hAnsi="Times New Roman;serif"/>
                <w:b w:val="false"/>
                <w:sz w:val="20"/>
              </w:rPr>
              <w:t>Quoted prices for similar instruments in active markets; quoted prices for identical or similar instruments in markets that are not active; and model-derived valuations in which significant inputs and significant value drivers are observable in active markets; and</w:t>
            </w:r>
            <w:r>
              <w:rPr>
                <w:rFonts w:ascii="Times New Roman" w:hAnsi="Times New Roman"/>
                <w:sz w:val="20"/>
              </w:rPr>
              <w:t xml:space="preserve"> </w:t>
            </w:r>
          </w:p>
        </w:tc>
      </w:tr>
      <w:tr>
        <w:trPr/>
        <w:tc>
          <w:tcPr>
            <w:tcW w:w="643" w:type="dxa"/>
            <w:tcBorders/>
            <w:tcMar>
              <w:top w:w="0" w:type="dxa"/>
              <w:left w:w="0" w:type="dxa"/>
              <w:bottom w:w="0" w:type="dxa"/>
              <w:right w:w="0" w:type="dxa"/>
            </w:tcMar>
            <w:vAlign w:val="center"/>
          </w:tcPr>
          <w:p>
            <w:pPr>
              <w:pStyle w:val="TableContents"/>
              <w:bidi w:val="0"/>
              <w:spacing w:before="120" w:after="0"/>
              <w:ind w:left="0" w:right="0" w:hanging="0"/>
              <w:jc w:val="center"/>
              <w:rPr>
                <w:rFonts w:ascii="Times New Roman;serif" w:hAnsi="Times New Roman;serif"/>
                <w:b w:val="false"/>
                <w:i/>
                <w:sz w:val="20"/>
              </w:rPr>
            </w:pPr>
            <w:r>
              <w:rPr>
                <w:rFonts w:ascii="Times New Roman;serif" w:hAnsi="Times New Roman;serif"/>
                <w:b w:val="false"/>
                <w:i/>
                <w:sz w:val="20"/>
              </w:rPr>
              <w:t>Level 3:</w:t>
            </w:r>
          </w:p>
        </w:tc>
        <w:tc>
          <w:tcPr>
            <w:tcW w:w="9562" w:type="dxa"/>
            <w:tcBorders/>
            <w:tcMar>
              <w:top w:w="0" w:type="dxa"/>
              <w:left w:w="0" w:type="dxa"/>
              <w:bottom w:w="0" w:type="dxa"/>
              <w:right w:w="0" w:type="dxa"/>
            </w:tcMar>
            <w:vAlign w:val="center"/>
          </w:tcPr>
          <w:p>
            <w:pPr>
              <w:pStyle w:val="TableContents"/>
              <w:bidi w:val="0"/>
              <w:spacing w:before="120" w:after="0"/>
              <w:ind w:left="0" w:right="0" w:hanging="0"/>
              <w:jc w:val="both"/>
              <w:rPr>
                <w:rFonts w:ascii="Times New Roman" w:hAnsi="Times New Roman"/>
                <w:sz w:val="20"/>
              </w:rPr>
            </w:pPr>
            <w:r>
              <w:rPr>
                <w:rFonts w:ascii="Times New Roman;serif" w:hAnsi="Times New Roman;serif"/>
                <w:b w:val="false"/>
                <w:sz w:val="20"/>
              </w:rPr>
              <w:t>Fair value measurements derived from valuation techniques in which one or more significant inputs or significant value drivers are unobservable.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fair value hierarchy table presents information about the Company’s assets and liabilities measured at fair value on a recurring basis:</w:t>
      </w:r>
      <w:r>
        <w:rPr>
          <w:rFonts w:ascii="Times New Roman" w:hAnsi="Times New Roman"/>
          <w:sz w:val="20"/>
        </w:rPr>
        <w:t xml:space="preserve"> </w:t>
      </w:r>
    </w:p>
    <w:p>
      <w:pPr>
        <w:pStyle w:val="TextBody"/>
        <w:bidi w:val="0"/>
        <w:spacing w:before="0" w:after="0"/>
        <w:jc w:val="left"/>
        <w:rPr/>
      </w:pPr>
      <w:r>
        <w:rPr/>
        <w:t> </w:t>
      </w:r>
    </w:p>
    <w:tbl>
      <w:tblPr>
        <w:tblW w:w="7893" w:type="dxa"/>
        <w:jc w:val="left"/>
        <w:tblInd w:w="0" w:type="dxa"/>
        <w:tblLayout w:type="fixed"/>
        <w:tblCellMar>
          <w:top w:w="28" w:type="dxa"/>
          <w:left w:w="28" w:type="dxa"/>
          <w:bottom w:w="28" w:type="dxa"/>
          <w:right w:w="28" w:type="dxa"/>
        </w:tblCellMar>
      </w:tblPr>
      <w:tblGrid>
        <w:gridCol w:w="4216"/>
        <w:gridCol w:w="146"/>
        <w:gridCol w:w="211"/>
        <w:gridCol w:w="571"/>
        <w:gridCol w:w="146"/>
        <w:gridCol w:w="146"/>
        <w:gridCol w:w="211"/>
        <w:gridCol w:w="676"/>
        <w:gridCol w:w="146"/>
        <w:gridCol w:w="146"/>
        <w:gridCol w:w="211"/>
        <w:gridCol w:w="67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 at</w:t>
              <w:br/>
              <w:t>reporting date using</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(Level 3)</w:t>
            </w:r>
            <w:r>
              <w:rPr>
                <w:rFonts w:ascii="Times New Roman;serif" w:hAnsi="Times New Roman;serif"/>
                <w:b/>
                <w:sz w:val="11"/>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accounts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Contingent shares liability from fSight acquisition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note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61,776</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Preferred stock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The Company utilized the Black-Scholes options pricing model to fair value the preferred stock warrant liability.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is a summary of the changes in fair value of the Company’s marketable securities as of June 30, 2023:</w:t>
      </w:r>
    </w:p>
    <w:p>
      <w:pPr>
        <w:pStyle w:val="TextBody"/>
        <w:bidi w:val="0"/>
        <w:spacing w:before="0" w:after="0"/>
        <w:jc w:val="both"/>
        <w:rPr/>
      </w:pPr>
      <w:r>
        <w:rPr/>
        <w:t> </w:t>
      </w:r>
    </w:p>
    <w:tbl>
      <w:tblPr>
        <w:tblW w:w="9916" w:type="dxa"/>
        <w:jc w:val="left"/>
        <w:tblInd w:w="0" w:type="dxa"/>
        <w:tblLayout w:type="fixed"/>
        <w:tblCellMar>
          <w:top w:w="28" w:type="dxa"/>
          <w:left w:w="28" w:type="dxa"/>
          <w:bottom w:w="28" w:type="dxa"/>
          <w:right w:w="28" w:type="dxa"/>
        </w:tblCellMar>
      </w:tblPr>
      <w:tblGrid>
        <w:gridCol w:w="3766"/>
        <w:gridCol w:w="146"/>
        <w:gridCol w:w="285"/>
        <w:gridCol w:w="915"/>
        <w:gridCol w:w="146"/>
        <w:gridCol w:w="146"/>
        <w:gridCol w:w="471"/>
        <w:gridCol w:w="774"/>
        <w:gridCol w:w="146"/>
        <w:gridCol w:w="146"/>
        <w:gridCol w:w="361"/>
        <w:gridCol w:w="824"/>
        <w:gridCol w:w="166"/>
        <w:gridCol w:w="146"/>
        <w:gridCol w:w="211"/>
        <w:gridCol w:w="676"/>
        <w:gridCol w:w="5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15,814</w:t>
            </w:r>
          </w:p>
        </w:tc>
        <w:tc>
          <w:tcPr>
            <w:tcW w:w="591" w:type="dxa"/>
            <w:tcBorders/>
            <w:vAlign w:val="center"/>
          </w:tcPr>
          <w:p>
            <w:pPr>
              <w:pStyle w:val="TableContents"/>
              <w:bidi w:val="0"/>
              <w:spacing w:before="0" w:after="0"/>
              <w:ind w:left="0" w:right="0" w:firstLine="200"/>
              <w:jc w:val="lef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securities</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28,095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7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43,909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assets</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4,445</w:t>
            </w:r>
          </w:p>
        </w:tc>
        <w:tc>
          <w:tcPr>
            <w:tcW w:w="591" w:type="dxa"/>
            <w:tcBorders/>
            <w:vAlign w:val="center"/>
          </w:tcPr>
          <w:p>
            <w:pPr>
              <w:pStyle w:val="TableContents"/>
              <w:bidi w:val="0"/>
              <w:spacing w:before="0" w:after="0"/>
              <w:ind w:left="0" w:right="0" w:firstLine="200"/>
              <w:jc w:val="lef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agency securities</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7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6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right"/>
              <w:rPr/>
            </w:pPr>
            <w:r>
              <w:rPr/>
              <w:t> </w:t>
            </w:r>
          </w:p>
        </w:tc>
      </w:tr>
      <w:tr>
        <w:trPr/>
        <w:tc>
          <w:tcPr>
            <w:tcW w:w="37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50,244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available-for-sale securities consisted of investments that mature within approximately one to two years.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fair value of the preferred stock warrants was calculated using the Black-Scholes option pricing model and is revalued to fair value at the end of each reporting period until the earlier of the exercise or expiration of the preferred stock warrants. As a part of the Business Combination, Legacy Tigo preferred stock warrants were converted into the Legacy Tigo common stock at the conversion rate in effect immediately prior to the consummation of the Business Combination. Please see Note 3, “Merger with Roth CH Acquisition IV Co.” for additional information. The fair value of the warrant liabilities was estimated using the Black-Scholes option pricing model using the following assumptions:</w:t>
      </w:r>
    </w:p>
    <w:p>
      <w:pPr>
        <w:pStyle w:val="TextBody"/>
        <w:bidi w:val="0"/>
        <w:spacing w:before="0" w:after="0"/>
        <w:jc w:val="both"/>
        <w:rPr/>
      </w:pPr>
      <w:r>
        <w:rPr/>
        <w:t> </w:t>
      </w:r>
    </w:p>
    <w:tbl>
      <w:tblPr>
        <w:tblW w:w="7661" w:type="dxa"/>
        <w:jc w:val="left"/>
        <w:tblInd w:w="0" w:type="dxa"/>
        <w:tblLayout w:type="fixed"/>
        <w:tblCellMar>
          <w:top w:w="28" w:type="dxa"/>
          <w:left w:w="28" w:type="dxa"/>
          <w:bottom w:w="28" w:type="dxa"/>
          <w:right w:w="28" w:type="dxa"/>
        </w:tblCellMar>
      </w:tblPr>
      <w:tblGrid>
        <w:gridCol w:w="4066"/>
        <w:gridCol w:w="146"/>
        <w:gridCol w:w="407"/>
        <w:gridCol w:w="898"/>
        <w:gridCol w:w="146"/>
        <w:gridCol w:w="146"/>
        <w:gridCol w:w="471"/>
        <w:gridCol w:w="1044"/>
        <w:gridCol w:w="14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May 23, 2023 </w:t>
              <w:br/>
              <w:t>(Merger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 - 70%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 - 76%</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 - 4.28%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 - 4.34%</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- 2.6</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2.4</w:t>
            </w:r>
            <w:r>
              <w:rPr>
                <w:rFonts w:ascii="Times New Roman" w:hAnsi="Times New Roman"/>
                <w:sz w:val="20"/>
              </w:rPr>
              <w:t> </w:t>
            </w:r>
            <w:r>
              <w:rPr>
                <w:rFonts w:ascii="Times New Roman;serif" w:hAnsi="Times New Roman;serif"/>
                <w:b w:val="false"/>
                <w:sz w:val="20"/>
              </w:rPr>
              <w:t>- 3.0</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Series C convertible preferred stock</w:t>
            </w:r>
          </w:p>
        </w:tc>
        <w:tc>
          <w:tcPr>
            <w:tcW w:w="146"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table presented below is a summary of the changes in fair value of the Company’s preferred stock warrant liability which was exercised immediately prior to the Business Combination into Legacy Tigo preferred stock and subsequently converted into Legacy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Tigo common stock. Upon the consummation of the Business Combination, such shares of Legacy Tigo common stock were converted to shares of Common Stock. Please see Note 3, “Merger with ROTH CH Acquisition IV Co.” for additional information.</w:t>
      </w:r>
    </w:p>
    <w:p>
      <w:pPr>
        <w:pStyle w:val="TextBody"/>
        <w:bidi w:val="0"/>
        <w:spacing w:before="0" w:after="0"/>
        <w:jc w:val="both"/>
        <w:rPr/>
      </w:pPr>
      <w:r>
        <w:rPr/>
        <w:t> </w:t>
      </w:r>
    </w:p>
    <w:tbl>
      <w:tblPr>
        <w:tblW w:w="4258" w:type="dxa"/>
        <w:jc w:val="left"/>
        <w:tblInd w:w="0" w:type="dxa"/>
        <w:tblLayout w:type="fixed"/>
        <w:tblCellMar>
          <w:top w:w="28" w:type="dxa"/>
          <w:left w:w="28" w:type="dxa"/>
          <w:bottom w:w="28" w:type="dxa"/>
          <w:right w:w="28" w:type="dxa"/>
        </w:tblCellMar>
      </w:tblPr>
      <w:tblGrid>
        <w:gridCol w:w="2596"/>
        <w:gridCol w:w="146"/>
        <w:gridCol w:w="327"/>
        <w:gridCol w:w="978"/>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of </w:t>
              <w:br/>
              <w:t xml:space="preserve">preferred stock </w:t>
              <w:br/>
              <w:t>warrant liability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w:t>
            </w:r>
          </w:p>
        </w:tc>
        <w:tc>
          <w:tcPr>
            <w:tcW w:w="21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w:t>
            </w:r>
          </w:p>
        </w:tc>
        <w:tc>
          <w:tcPr>
            <w:tcW w:w="21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21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warrants</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table presented below is a summary of the changes in fair value of the Company’s Level 3 financial instruments.</w:t>
      </w:r>
      <w:r>
        <w:rPr>
          <w:rFonts w:ascii="Times New Roman" w:hAnsi="Times New Roman"/>
          <w:sz w:val="20"/>
        </w:rPr>
        <w:t xml:space="preserve"> </w:t>
      </w:r>
      <w:r>
        <w:rPr>
          <w:rFonts w:ascii="Times New Roman;serif" w:hAnsi="Times New Roman;serif"/>
          <w:b w:val="false"/>
          <w:sz w:val="20"/>
        </w:rPr>
        <w:t>The contingent shares from the fSight Acquisition (Note 4) were initially classified as a Level 3 measurement and upon the Merger were transferred out of Level 3 into Level 1, as they are now valued on the observable stock price of the Company. In addition, the Company bifurcated the conversion options associated with the convertible promissory notes and separately account for them as a derivative liability.</w:t>
      </w:r>
    </w:p>
    <w:p>
      <w:pPr>
        <w:pStyle w:val="TextBody"/>
        <w:bidi w:val="0"/>
        <w:spacing w:before="0" w:after="0"/>
        <w:jc w:val="both"/>
        <w:rPr/>
      </w:pPr>
      <w:r>
        <w:rPr/>
        <w:t> </w:t>
      </w:r>
    </w:p>
    <w:tbl>
      <w:tblPr>
        <w:tblW w:w="6455" w:type="dxa"/>
        <w:jc w:val="left"/>
        <w:tblInd w:w="0" w:type="dxa"/>
        <w:tblLayout w:type="fixed"/>
        <w:tblCellMar>
          <w:top w:w="28" w:type="dxa"/>
          <w:left w:w="28" w:type="dxa"/>
          <w:bottom w:w="28" w:type="dxa"/>
          <w:right w:w="28" w:type="dxa"/>
        </w:tblCellMar>
      </w:tblPr>
      <w:tblGrid>
        <w:gridCol w:w="2596"/>
        <w:gridCol w:w="146"/>
        <w:gridCol w:w="443"/>
        <w:gridCol w:w="1327"/>
        <w:gridCol w:w="166"/>
        <w:gridCol w:w="146"/>
        <w:gridCol w:w="342"/>
        <w:gridCol w:w="1098"/>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of </w:t>
              <w:br/>
              <w:t xml:space="preserve">contingent shares </w:t>
              <w:br/>
              <w:t>from fSight acquisition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of </w:t>
              <w:br/>
              <w:t>derivative liability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at inception</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23,525</w:t>
            </w:r>
          </w:p>
        </w:tc>
        <w:tc>
          <w:tcPr>
            <w:tcW w:w="19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9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 out of level 3</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The fair value of the convertible note derivative liability was estimated using the Black-Scholes option pricing model using the following assumptions:</w:t>
      </w:r>
    </w:p>
    <w:p>
      <w:pPr>
        <w:pStyle w:val="TextBody"/>
        <w:bidi w:val="0"/>
        <w:spacing w:before="0" w:after="0"/>
        <w:jc w:val="both"/>
        <w:rPr/>
      </w:pPr>
      <w:r>
        <w:rPr/>
        <w:t> </w:t>
      </w:r>
    </w:p>
    <w:tbl>
      <w:tblPr>
        <w:tblW w:w="4138" w:type="dxa"/>
        <w:jc w:val="left"/>
        <w:tblInd w:w="0" w:type="dxa"/>
        <w:tblLayout w:type="fixed"/>
        <w:tblCellMar>
          <w:top w:w="28" w:type="dxa"/>
          <w:left w:w="28" w:type="dxa"/>
          <w:bottom w:w="28" w:type="dxa"/>
          <w:right w:w="28" w:type="dxa"/>
        </w:tblCellMar>
      </w:tblPr>
      <w:tblGrid>
        <w:gridCol w:w="2131"/>
        <w:gridCol w:w="146"/>
        <w:gridCol w:w="368"/>
        <w:gridCol w:w="117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During the three and six months ended June 30, 2022, there were no transfers between Level 1, Level 2 and Level 3.</w:t>
      </w:r>
    </w:p>
    <w:p>
      <w:pPr>
        <w:pStyle w:val="TextBody"/>
        <w:bidi w:val="0"/>
        <w:spacing w:before="240" w:after="0"/>
        <w:jc w:val="left"/>
        <w:rPr>
          <w:rFonts w:ascii="Times New Roman" w:hAnsi="Times New Roman"/>
          <w:sz w:val="20"/>
        </w:rPr>
      </w:pPr>
      <w:r>
        <w:rPr>
          <w:rFonts w:ascii="Times New Roman;serif" w:hAnsi="Times New Roman;serif"/>
          <w:b w:val="false"/>
          <w:i/>
          <w:sz w:val="20"/>
        </w:rPr>
        <w:t>Fair Value of Financial Instruments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carrying amounts of cash and cash equivalents, restricted cash, marketable securities, accounts receivable, accounts payable, and customer deposits approximate fair value due to their short-term nature. As of June 30, 2023, the fair value and carrying value of the Company’s Convertible Promissory Note (Note 9) was $58.1</w:t>
      </w:r>
      <w:r>
        <w:rPr>
          <w:rFonts w:ascii="Times New Roman" w:hAnsi="Times New Roman"/>
          <w:sz w:val="20"/>
        </w:rPr>
        <w:t xml:space="preserve"> </w:t>
      </w:r>
      <w:r>
        <w:rPr>
          <w:rFonts w:ascii="Times New Roman;serif" w:hAnsi="Times New Roman;serif"/>
          <w:b w:val="false"/>
          <w:sz w:val="20"/>
        </w:rPr>
        <w:t>million and $27.1</w:t>
      </w:r>
      <w:r>
        <w:rPr>
          <w:rFonts w:ascii="Times New Roman" w:hAnsi="Times New Roman"/>
          <w:sz w:val="20"/>
        </w:rPr>
        <w:t xml:space="preserve"> </w:t>
      </w:r>
      <w:r>
        <w:rPr>
          <w:rFonts w:ascii="Times New Roman;serif" w:hAnsi="Times New Roman;serif"/>
          <w:b w:val="false"/>
          <w:sz w:val="20"/>
        </w:rPr>
        <w:t>million, respectively. As of December 31, 2022, the fair value and carrying value of the Company’s Series 2022-1 Notes was $21.0</w:t>
      </w:r>
      <w:r>
        <w:rPr>
          <w:rFonts w:ascii="Times New Roman" w:hAnsi="Times New Roman"/>
          <w:sz w:val="20"/>
        </w:rPr>
        <w:t xml:space="preserve"> </w:t>
      </w:r>
      <w:r>
        <w:rPr>
          <w:rFonts w:ascii="Times New Roman;serif" w:hAnsi="Times New Roman;serif"/>
          <w:b w:val="false"/>
          <w:sz w:val="20"/>
        </w:rPr>
        <w:t>million and $20.6</w:t>
      </w:r>
      <w:r>
        <w:rPr>
          <w:rFonts w:ascii="Times New Roman" w:hAnsi="Times New Roman"/>
          <w:sz w:val="20"/>
        </w:rPr>
        <w:t xml:space="preserve"> </w:t>
      </w:r>
      <w:r>
        <w:rPr>
          <w:rFonts w:ascii="Times New Roman;serif" w:hAnsi="Times New Roman;serif"/>
          <w:b w:val="false"/>
          <w:sz w:val="20"/>
        </w:rPr>
        <w:t>million, respectively. The estimated fair value for the Company’s Convertible Promissory Note and Series 2022-1 Notes was based on discounted expected future cash flows using prevailing interest rates which are Level 3 inputs under the fair value hierarchy.</w:t>
      </w:r>
    </w:p>
    <w:p>
      <w:pPr>
        <w:pStyle w:val="TextBody"/>
        <w:bidi w:val="0"/>
        <w:spacing w:before="360" w:after="0"/>
        <w:jc w:val="both"/>
        <w:rPr>
          <w:rFonts w:ascii="Times New Roman" w:hAnsi="Times New Roman"/>
          <w:b/>
          <w:sz w:val="20"/>
        </w:rPr>
      </w:pPr>
      <w:r>
        <w:rPr>
          <w:rFonts w:ascii="Times New Roman" w:hAnsi="Times New Roman"/>
          <w:b/>
          <w:sz w:val="20"/>
        </w:rPr>
        <w:t>7.</w:t>
      </w:r>
    </w:p>
    <w:p>
      <w:pPr>
        <w:pStyle w:val="TextBody"/>
        <w:bidi w:val="0"/>
        <w:spacing w:before="360" w:after="283"/>
        <w:jc w:val="both"/>
        <w:rPr>
          <w:rFonts w:ascii="Times New Roman;serif" w:hAnsi="Times New Roman;serif"/>
          <w:b/>
          <w:sz w:val="20"/>
        </w:rPr>
      </w:pPr>
      <w:r>
        <w:rPr>
          <w:rFonts w:ascii="Times New Roman;serif" w:hAnsi="Times New Roman;serif"/>
          <w:b/>
          <w:sz w:val="20"/>
        </w:rPr>
        <w:t>Revenue Recognition</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Geographic Revenues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sells its products in the Americas (North and South America), EMEA (Europe, Middle East, and Africa), and APAC (Asia-Pacific) regions.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summarizes revenue by major geographic region (in millions):</w:t>
      </w:r>
    </w:p>
    <w:p>
      <w:pPr>
        <w:pStyle w:val="TextBody"/>
        <w:bidi w:val="0"/>
        <w:spacing w:before="0" w:after="0"/>
        <w:jc w:val="left"/>
        <w:rPr/>
      </w:pPr>
      <w:r>
        <w:rPr/>
        <w:t> </w:t>
      </w:r>
    </w:p>
    <w:tbl>
      <w:tblPr>
        <w:tblW w:w="6655" w:type="dxa"/>
        <w:jc w:val="left"/>
        <w:tblInd w:w="0" w:type="dxa"/>
        <w:tblLayout w:type="fixed"/>
        <w:tblCellMar>
          <w:top w:w="28" w:type="dxa"/>
          <w:left w:w="28" w:type="dxa"/>
          <w:bottom w:w="28" w:type="dxa"/>
          <w:right w:w="28" w:type="dxa"/>
        </w:tblCellMar>
      </w:tblPr>
      <w:tblGrid>
        <w:gridCol w:w="1591"/>
        <w:gridCol w:w="146"/>
        <w:gridCol w:w="231"/>
        <w:gridCol w:w="741"/>
        <w:gridCol w:w="160"/>
        <w:gridCol w:w="160"/>
        <w:gridCol w:w="231"/>
        <w:gridCol w:w="741"/>
        <w:gridCol w:w="146"/>
        <w:gridCol w:w="146"/>
        <w:gridCol w:w="211"/>
        <w:gridCol w:w="781"/>
        <w:gridCol w:w="146"/>
        <w:gridCol w:w="146"/>
        <w:gridCol w:w="211"/>
        <w:gridCol w:w="676"/>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55,096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16,862</w:t>
            </w:r>
          </w:p>
        </w:tc>
        <w:tc>
          <w:tcPr>
            <w:tcW w:w="191" w:type="dxa"/>
            <w:tcBorders/>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9,136</w:t>
            </w:r>
          </w:p>
        </w:tc>
        <w:tc>
          <w:tcPr>
            <w:tcW w:w="191" w:type="dxa"/>
            <w:tcBorders/>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APAC</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68,826</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Deferred Revenue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changes in deferred revenue:</w:t>
      </w:r>
    </w:p>
    <w:p>
      <w:pPr>
        <w:pStyle w:val="TextBody"/>
        <w:bidi w:val="0"/>
        <w:spacing w:before="0" w:after="0"/>
        <w:jc w:val="both"/>
        <w:rPr/>
      </w:pPr>
      <w:r>
        <w:rPr/>
        <w:t> </w:t>
      </w:r>
    </w:p>
    <w:tbl>
      <w:tblPr>
        <w:tblW w:w="8274" w:type="dxa"/>
        <w:jc w:val="left"/>
        <w:tblInd w:w="0" w:type="dxa"/>
        <w:tblLayout w:type="fixed"/>
        <w:tblCellMar>
          <w:top w:w="28" w:type="dxa"/>
          <w:left w:w="28" w:type="dxa"/>
          <w:bottom w:w="28" w:type="dxa"/>
          <w:right w:w="28" w:type="dxa"/>
        </w:tblCellMar>
      </w:tblPr>
      <w:tblGrid>
        <w:gridCol w:w="3241"/>
        <w:gridCol w:w="146"/>
        <w:gridCol w:w="227"/>
        <w:gridCol w:w="793"/>
        <w:gridCol w:w="179"/>
        <w:gridCol w:w="157"/>
        <w:gridCol w:w="227"/>
        <w:gridCol w:w="680"/>
        <w:gridCol w:w="166"/>
        <w:gridCol w:w="146"/>
        <w:gridCol w:w="211"/>
        <w:gridCol w:w="736"/>
        <w:gridCol w:w="166"/>
        <w:gridCol w:w="146"/>
        <w:gridCol w:w="211"/>
        <w:gridCol w:w="63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9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the beginning of the period</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2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Deferral of revenue</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10,971</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6,798</w:t>
            </w:r>
          </w:p>
        </w:tc>
        <w:tc>
          <w:tcPr>
            <w:tcW w:w="2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Recognition of unearned revenue</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(11,956</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the end of the period</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Company expects to recognize $0.6</w:t>
      </w:r>
      <w:r>
        <w:rPr>
          <w:rFonts w:ascii="Times New Roman" w:hAnsi="Times New Roman"/>
          <w:sz w:val="20"/>
        </w:rPr>
        <w:t xml:space="preserve"> </w:t>
      </w:r>
      <w:r>
        <w:rPr>
          <w:rFonts w:ascii="Times New Roman;serif" w:hAnsi="Times New Roman;serif"/>
          <w:b w:val="false"/>
          <w:sz w:val="20"/>
        </w:rPr>
        <w:t>million from remaining performance obligations over a weighted average term of 2.7</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recognized approximately $0.2</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in revenue that was included in the beginning contract liabilities balance during the three and six months ended June 30, 2023, respectively. The Company recognized approximately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in revenue that was included in the beginning contract liabilities balance during the three and six months ended June 30, 2022, respectively.</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Product Warranty</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estimates the cost of its warranty obligations based on several key estimates: the warranty period (which vary from 5</w:t>
      </w:r>
      <w:r>
        <w:rPr>
          <w:rFonts w:ascii="Times New Roman" w:hAnsi="Times New Roman"/>
          <w:sz w:val="20"/>
        </w:rPr>
        <w:t xml:space="preserve"> </w:t>
      </w:r>
      <w:r>
        <w:rPr>
          <w:rFonts w:ascii="Times New Roman;serif" w:hAnsi="Times New Roman;serif"/>
          <w:b w:val="false"/>
          <w:sz w:val="20"/>
        </w:rPr>
        <w:t>to 25</w:t>
      </w:r>
      <w:r>
        <w:rPr>
          <w:rFonts w:ascii="Times New Roman" w:hAnsi="Times New Roman"/>
          <w:sz w:val="20"/>
        </w:rPr>
        <w:t xml:space="preserve"> </w:t>
      </w:r>
      <w:r>
        <w:rPr>
          <w:rFonts w:ascii="Times New Roman;serif" w:hAnsi="Times New Roman;serif"/>
          <w:b w:val="false"/>
          <w:sz w:val="20"/>
        </w:rPr>
        <w:t>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changes in product warranty liability:</w:t>
      </w:r>
    </w:p>
    <w:p>
      <w:pPr>
        <w:pStyle w:val="TextBody"/>
        <w:bidi w:val="0"/>
        <w:spacing w:before="0" w:after="0"/>
        <w:jc w:val="both"/>
        <w:rPr/>
      </w:pPr>
      <w:r>
        <w:rPr/>
        <w:t> </w:t>
      </w:r>
    </w:p>
    <w:tbl>
      <w:tblPr>
        <w:tblW w:w="8320" w:type="dxa"/>
        <w:jc w:val="left"/>
        <w:tblInd w:w="0" w:type="dxa"/>
        <w:tblLayout w:type="fixed"/>
        <w:tblCellMar>
          <w:top w:w="28" w:type="dxa"/>
          <w:left w:w="28" w:type="dxa"/>
          <w:bottom w:w="28" w:type="dxa"/>
          <w:right w:w="28" w:type="dxa"/>
        </w:tblCellMar>
      </w:tblPr>
      <w:tblGrid>
        <w:gridCol w:w="3241"/>
        <w:gridCol w:w="146"/>
        <w:gridCol w:w="254"/>
        <w:gridCol w:w="689"/>
        <w:gridCol w:w="200"/>
        <w:gridCol w:w="176"/>
        <w:gridCol w:w="254"/>
        <w:gridCol w:w="689"/>
        <w:gridCol w:w="166"/>
        <w:gridCol w:w="146"/>
        <w:gridCol w:w="232"/>
        <w:gridCol w:w="630"/>
        <w:gridCol w:w="183"/>
        <w:gridCol w:w="161"/>
        <w:gridCol w:w="232"/>
        <w:gridCol w:w="630"/>
        <w:gridCol w:w="2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center"/>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the beginning of the period</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4,626</w:t>
            </w:r>
          </w:p>
        </w:tc>
        <w:tc>
          <w:tcPr>
            <w:tcW w:w="200"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4,351</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3,393</w:t>
            </w:r>
          </w:p>
        </w:tc>
        <w:tc>
          <w:tcPr>
            <w:tcW w:w="2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warranty</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200"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291" w:type="dxa"/>
            <w:tcBorders/>
            <w:vAlign w:val="center"/>
          </w:tcPr>
          <w:p>
            <w:pPr>
              <w:pStyle w:val="TableContents"/>
              <w:bidi w:val="0"/>
              <w:spacing w:before="0" w:after="0"/>
              <w:ind w:left="0" w:right="0" w:firstLine="100"/>
              <w:jc w:val="left"/>
              <w:rPr/>
            </w:pPr>
            <w:r>
              <w:rPr/>
              <w:t> </w:t>
            </w:r>
          </w:p>
        </w:tc>
      </w:tr>
      <w:tr>
        <w:trPr/>
        <w:tc>
          <w:tcPr>
            <w:tcW w:w="32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returns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the end of the period</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5,493</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5,493</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60" w:after="0"/>
        <w:jc w:val="both"/>
        <w:rPr>
          <w:rFonts w:ascii="Times New Roman" w:hAnsi="Times New Roman"/>
          <w:b/>
          <w:sz w:val="20"/>
        </w:rPr>
      </w:pPr>
      <w:r>
        <w:rPr>
          <w:rFonts w:ascii="Times New Roman" w:hAnsi="Times New Roman"/>
          <w:b/>
          <w:sz w:val="20"/>
        </w:rPr>
        <w:t>8.</w:t>
      </w:r>
    </w:p>
    <w:p>
      <w:pPr>
        <w:pStyle w:val="TextBody"/>
        <w:bidi w:val="0"/>
        <w:spacing w:before="160" w:after="283"/>
        <w:jc w:val="both"/>
        <w:rPr>
          <w:rFonts w:ascii="Times New Roman;serif" w:hAnsi="Times New Roman;serif"/>
          <w:b/>
          <w:sz w:val="20"/>
        </w:rPr>
      </w:pPr>
      <w:r>
        <w:rPr>
          <w:rFonts w:ascii="Times New Roman;serif" w:hAnsi="Times New Roman;serif"/>
          <w:b/>
          <w:sz w:val="20"/>
        </w:rPr>
        <w:t>Selected Financial Data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Selected financial data as of the dates presented below is as follows (in thousands, except useful life data):</w:t>
      </w:r>
    </w:p>
    <w:p>
      <w:pPr>
        <w:pStyle w:val="TextBody"/>
        <w:bidi w:val="0"/>
        <w:spacing w:before="0" w:after="0"/>
        <w:jc w:val="both"/>
        <w:rPr/>
      </w:pPr>
      <w:r>
        <w:rPr/>
        <w:t> </w:t>
      </w:r>
    </w:p>
    <w:tbl>
      <w:tblPr>
        <w:tblW w:w="4382" w:type="dxa"/>
        <w:jc w:val="left"/>
        <w:tblInd w:w="0" w:type="dxa"/>
        <w:tblLayout w:type="fixed"/>
        <w:tblCellMar>
          <w:top w:w="28" w:type="dxa"/>
          <w:left w:w="28" w:type="dxa"/>
          <w:bottom w:w="28" w:type="dxa"/>
          <w:right w:w="28" w:type="dxa"/>
        </w:tblCellMar>
      </w:tblPr>
      <w:tblGrid>
        <w:gridCol w:w="1531"/>
        <w:gridCol w:w="146"/>
        <w:gridCol w:w="211"/>
        <w:gridCol w:w="676"/>
        <w:gridCol w:w="166"/>
        <w:gridCol w:w="146"/>
        <w:gridCol w:w="260"/>
        <w:gridCol w:w="835"/>
        <w:gridCol w:w="4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Inventories: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5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411" w:type="dxa"/>
            <w:tcBorders/>
            <w:vAlign w:val="center"/>
          </w:tcPr>
          <w:p>
            <w:pPr>
              <w:pStyle w:val="TableContents"/>
              <w:bidi w:val="0"/>
              <w:spacing w:before="0" w:after="0"/>
              <w:ind w:left="0" w:right="0" w:firstLine="100"/>
              <w:jc w:val="left"/>
              <w:rPr/>
            </w:pPr>
            <w:r>
              <w:rPr/>
              <w:t> </w:t>
            </w:r>
          </w:p>
        </w:tc>
      </w:tr>
      <w:tr>
        <w:trPr/>
        <w:tc>
          <w:tcPr>
            <w:tcW w:w="15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411" w:type="dxa"/>
            <w:tcBorders/>
            <w:vAlign w:val="center"/>
          </w:tcPr>
          <w:p>
            <w:pPr>
              <w:pStyle w:val="TableContents"/>
              <w:bidi w:val="0"/>
              <w:spacing w:before="0" w:after="0"/>
              <w:ind w:left="0" w:right="0" w:firstLine="100"/>
              <w:jc w:val="left"/>
              <w:rPr/>
            </w:pPr>
            <w:r>
              <w:rPr/>
              <w:t> </w:t>
            </w:r>
          </w:p>
        </w:tc>
      </w:tr>
      <w:tr>
        <w:trPr/>
        <w:tc>
          <w:tcPr>
            <w:tcW w:w="15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23,293</w:t>
            </w:r>
          </w:p>
        </w:tc>
        <w:tc>
          <w:tcPr>
            <w:tcW w:w="411" w:type="dxa"/>
            <w:tcBorders/>
            <w:vAlign w:val="center"/>
          </w:tcPr>
          <w:p>
            <w:pPr>
              <w:pStyle w:val="TableContents"/>
              <w:bidi w:val="0"/>
              <w:spacing w:before="0" w:after="0"/>
              <w:ind w:left="0" w:right="0" w:firstLine="100"/>
              <w:jc w:val="left"/>
              <w:rPr/>
            </w:pPr>
            <w:r>
              <w:rPr/>
              <w:t> </w:t>
            </w:r>
          </w:p>
        </w:tc>
      </w:tr>
      <w:tr>
        <w:trPr/>
        <w:tc>
          <w:tcPr>
            <w:tcW w:w="15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Inventory reserve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5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7234" w:type="dxa"/>
        <w:jc w:val="left"/>
        <w:tblInd w:w="0" w:type="dxa"/>
        <w:tblLayout w:type="fixed"/>
        <w:tblCellMar>
          <w:top w:w="28" w:type="dxa"/>
          <w:left w:w="28" w:type="dxa"/>
          <w:bottom w:w="28" w:type="dxa"/>
          <w:right w:w="28" w:type="dxa"/>
        </w:tblCellMar>
      </w:tblPr>
      <w:tblGrid>
        <w:gridCol w:w="2731"/>
        <w:gridCol w:w="146"/>
        <w:gridCol w:w="1651"/>
        <w:gridCol w:w="146"/>
        <w:gridCol w:w="211"/>
        <w:gridCol w:w="571"/>
        <w:gridCol w:w="146"/>
        <w:gridCol w:w="146"/>
        <w:gridCol w:w="294"/>
        <w:gridCol w:w="80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Property and equipment, 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Machinery and equipment</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3,881</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Computer software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- 6</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4,844</w:t>
            </w:r>
          </w:p>
        </w:tc>
        <w:tc>
          <w:tcPr>
            <w:tcW w:w="391" w:type="dxa"/>
            <w:tcBorders/>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the three months ended June 30, 2023, and 2022 the Company recorded depreciation expense of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in the condensed consolidated statements of operations. For the six months ended June 30, 2023, and 2022 the Company recorded depreciation expense of $0.4</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in the condensed consolidated statements of operations.</w:t>
      </w:r>
    </w:p>
    <w:p>
      <w:pPr>
        <w:pStyle w:val="TextBody"/>
        <w:bidi w:val="0"/>
        <w:spacing w:before="0" w:after="0"/>
        <w:jc w:val="both"/>
        <w:rPr/>
      </w:pPr>
      <w:r>
        <w:rPr/>
        <w:t> </w:t>
      </w:r>
    </w:p>
    <w:tbl>
      <w:tblPr>
        <w:tblW w:w="663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94"/>
        <w:gridCol w:w="8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Accrued expenses and other current liabilities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vacation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2,502</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warehouse and freight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3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Other current liabilities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sz w:val="20"/>
        </w:rPr>
      </w:pPr>
      <w:r>
        <w:rPr>
          <w:rFonts w:ascii="Times New Roman;serif" w:hAnsi="Times New Roman;serif"/>
          <w:b w:val="false"/>
          <w:sz w:val="16"/>
        </w:rPr>
        <w:t>Other current liabilities of $3.4</w:t>
      </w:r>
      <w:r>
        <w:rPr>
          <w:rFonts w:ascii="Times New Roman;serif" w:hAnsi="Times New Roman;serif"/>
          <w:sz w:val="20"/>
        </w:rPr>
        <w:t xml:space="preserve"> </w:t>
      </w:r>
      <w:r>
        <w:rPr>
          <w:rFonts w:ascii="Times New Roman;serif" w:hAnsi="Times New Roman;serif"/>
          <w:b w:val="false"/>
          <w:sz w:val="16"/>
        </w:rPr>
        <w:t>million for the period ended June 30, 2023, is primarily related to the current portion of the contingent shares liability related to the acquisition of fSight in Q1 2023. See Note 4 for additional information.</w:t>
      </w:r>
    </w:p>
    <w:p>
      <w:pPr>
        <w:pStyle w:val="TextBody"/>
        <w:bidi w:val="0"/>
        <w:spacing w:before="360" w:after="0"/>
        <w:jc w:val="both"/>
        <w:rPr>
          <w:rFonts w:ascii="Times New Roman" w:hAnsi="Times New Roman"/>
          <w:b/>
          <w:sz w:val="20"/>
        </w:rPr>
      </w:pPr>
      <w:r>
        <w:rPr>
          <w:rFonts w:ascii="Times New Roman" w:hAnsi="Times New Roman"/>
          <w:b/>
          <w:sz w:val="20"/>
        </w:rPr>
        <w:t>9.</w:t>
      </w:r>
    </w:p>
    <w:p>
      <w:pPr>
        <w:pStyle w:val="TextBody"/>
        <w:bidi w:val="0"/>
        <w:spacing w:before="360" w:after="283"/>
        <w:jc w:val="both"/>
        <w:rPr>
          <w:rFonts w:ascii="Times New Roman;serif" w:hAnsi="Times New Roman;serif"/>
          <w:b/>
          <w:sz w:val="20"/>
        </w:rPr>
      </w:pPr>
      <w:r>
        <w:rPr>
          <w:rFonts w:ascii="Times New Roman;serif" w:hAnsi="Times New Roman;serif"/>
          <w:b/>
          <w:sz w:val="20"/>
        </w:rPr>
        <w:t>Long-Term Debt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Long-term debt consisted of the following (in thousands):</w:t>
      </w:r>
    </w:p>
    <w:p>
      <w:pPr>
        <w:pStyle w:val="TextBody"/>
        <w:bidi w:val="0"/>
        <w:spacing w:before="0" w:after="0"/>
        <w:jc w:val="both"/>
        <w:rPr/>
      </w:pPr>
      <w:r>
        <w:rPr/>
        <w:t> </w:t>
      </w:r>
    </w:p>
    <w:tbl>
      <w:tblPr>
        <w:tblW w:w="8772" w:type="dxa"/>
        <w:jc w:val="left"/>
        <w:tblInd w:w="0" w:type="dxa"/>
        <w:tblLayout w:type="fixed"/>
        <w:tblCellMar>
          <w:top w:w="28" w:type="dxa"/>
          <w:left w:w="28" w:type="dxa"/>
          <w:bottom w:w="28" w:type="dxa"/>
          <w:right w:w="28" w:type="dxa"/>
        </w:tblCellMar>
      </w:tblPr>
      <w:tblGrid>
        <w:gridCol w:w="5761"/>
        <w:gridCol w:w="146"/>
        <w:gridCol w:w="211"/>
        <w:gridCol w:w="736"/>
        <w:gridCol w:w="166"/>
        <w:gridCol w:w="146"/>
        <w:gridCol w:w="244"/>
        <w:gridCol w:w="851"/>
        <w:gridCol w:w="51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761"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Promissory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2022-1 Notes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20,833</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20,833</w:t>
            </w:r>
          </w:p>
        </w:tc>
        <w:tc>
          <w:tcPr>
            <w:tcW w:w="51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discount and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7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Long-term debt, net of unamortized debt discount and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10,642</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Convertible Promissory Notes</w:t>
      </w:r>
    </w:p>
    <w:p>
      <w:pPr>
        <w:pStyle w:val="TextBody"/>
        <w:bidi w:val="0"/>
        <w:spacing w:before="120" w:after="0"/>
        <w:jc w:val="both"/>
        <w:rPr>
          <w:rFonts w:ascii="Times New Roman" w:hAnsi="Times New Roman"/>
          <w:sz w:val="20"/>
        </w:rPr>
      </w:pPr>
      <w:r>
        <w:rPr>
          <w:rFonts w:ascii="Times New Roman;serif" w:hAnsi="Times New Roman;serif"/>
          <w:b w:val="false"/>
          <w:sz w:val="20"/>
        </w:rPr>
        <w:t>On January 9, 2023, the Company entered into a convertible promissory note purchase agreement (“Note Purchase Agreement”) with L1 Energy Capital Management S.a.r.l in exchange for cash of $50.0</w:t>
      </w:r>
      <w:r>
        <w:rPr>
          <w:rFonts w:ascii="Times New Roman" w:hAnsi="Times New Roman"/>
          <w:sz w:val="20"/>
        </w:rPr>
        <w:t xml:space="preserve"> </w:t>
      </w:r>
      <w:r>
        <w:rPr>
          <w:rFonts w:ascii="Times New Roman;serif" w:hAnsi="Times New Roman;serif"/>
          <w:b w:val="false"/>
          <w:sz w:val="20"/>
        </w:rPr>
        <w:t>million (“Convertible Promissory Notes”). Outstanding</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borrowings under the Convertible Promissory Notes bear interest at a rate of 5.0% per year. The principal amount is due at the maturity date of January 9, 2026</w:t>
      </w:r>
      <w:r>
        <w:rPr>
          <w:rFonts w:ascii="Times New Roman" w:hAnsi="Times New Roman"/>
          <w:sz w:val="20"/>
        </w:rPr>
        <w:t xml:space="preserve"> </w:t>
      </w:r>
      <w:r>
        <w:rPr>
          <w:rFonts w:ascii="Times New Roman;serif" w:hAnsi="Times New Roman;serif"/>
          <w:b w:val="false"/>
          <w:sz w:val="20"/>
        </w:rPr>
        <w:t>and interest is payable semiannually beginning July 2023.</w:t>
      </w:r>
      <w:r>
        <w:rPr>
          <w:rFonts w:ascii="Times New Roman" w:hAnsi="Times New Roman"/>
          <w:sz w:val="20"/>
        </w:rPr>
        <w:t xml:space="preserve"> </w:t>
      </w:r>
      <w:r>
        <w:rPr>
          <w:rFonts w:ascii="Times New Roman;serif" w:hAnsi="Times New Roman;serif"/>
          <w:b w:val="false"/>
          <w:sz w:val="20"/>
        </w:rPr>
        <w:t>As of June 30, 2023, there was $1.2</w:t>
      </w:r>
      <w:r>
        <w:rPr>
          <w:rFonts w:ascii="Times New Roman" w:hAnsi="Times New Roman"/>
          <w:sz w:val="20"/>
        </w:rPr>
        <w:t xml:space="preserve"> </w:t>
      </w:r>
      <w:r>
        <w:rPr>
          <w:rFonts w:ascii="Times New Roman;serif" w:hAnsi="Times New Roman;serif"/>
          <w:b w:val="false"/>
          <w:sz w:val="20"/>
        </w:rPr>
        <w:t>million of accrued interest in the condensed consolidated balance sheet.</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w:t>
      </w:r>
      <w:r>
        <w:rPr>
          <w:rFonts w:ascii="Times New Roman" w:hAnsi="Times New Roman"/>
          <w:sz w:val="20"/>
        </w:rPr>
        <w:t xml:space="preserve"> </w:t>
      </w:r>
      <w:r>
        <w:rPr>
          <w:rFonts w:ascii="Times New Roman;serif" w:hAnsi="Times New Roman;serif"/>
          <w:b w:val="false"/>
          <w:sz w:val="20"/>
        </w:rPr>
        <w:t>In addition, the note holder may accelerate the repayment of the Convertible Promissory Note upon an event of default and the maturity will automatically be accelerated in the event of the Company’s insolvency or bankruptcy.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a result of the Business Combination, the conversion options were bifurcated and accounted for as derivatives. Upon recognition, the Company recorded the conversion options at fair value and associated debt discount of $23.5</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Future aggregate principal maturities of long-term debt are as follows as of June 30, 2023 (in thousands):</w:t>
      </w:r>
    </w:p>
    <w:p>
      <w:pPr>
        <w:pStyle w:val="TextBody"/>
        <w:bidi w:val="0"/>
        <w:spacing w:before="0" w:after="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Series 2022-1 Notes</w:t>
      </w:r>
    </w:p>
    <w:p>
      <w:pPr>
        <w:pStyle w:val="TextBody"/>
        <w:bidi w:val="0"/>
        <w:spacing w:before="120" w:after="0"/>
        <w:jc w:val="both"/>
        <w:rPr>
          <w:rFonts w:ascii="Times New Roman" w:hAnsi="Times New Roman"/>
          <w:sz w:val="20"/>
        </w:rPr>
      </w:pPr>
      <w:r>
        <w:rPr>
          <w:rFonts w:ascii="Times New Roman;serif" w:hAnsi="Times New Roman;serif"/>
          <w:b w:val="false"/>
          <w:sz w:val="20"/>
        </w:rPr>
        <w:t>In January 2023, concurrently with the Convertible Promissory Note transaction, the Company repaid the Series 2022-1 Notes in full with the proceeds from the Convertible Promissory Note and wrote off $0.2</w:t>
      </w:r>
      <w:r>
        <w:rPr>
          <w:rFonts w:ascii="Times New Roman" w:hAnsi="Times New Roman"/>
          <w:sz w:val="20"/>
        </w:rPr>
        <w:t xml:space="preserve"> </w:t>
      </w:r>
      <w:r>
        <w:rPr>
          <w:rFonts w:ascii="Times New Roman;serif" w:hAnsi="Times New Roman;serif"/>
          <w:b w:val="false"/>
          <w:sz w:val="20"/>
        </w:rPr>
        <w:t>million of unamortized debt issuance costs related to the previously outstanding Series 2022-1 Notes, which are included in loss on debt extinguishment on the condensed consolidated statements of operations and comprehensive loss.</w:t>
      </w:r>
      <w:r>
        <w:rPr>
          <w:rFonts w:ascii="Times New Roman" w:hAnsi="Times New Roman"/>
          <w:sz w:val="20"/>
        </w:rPr>
        <w:t xml:space="preserve"> </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Senior Bonds</w:t>
      </w:r>
    </w:p>
    <w:p>
      <w:pPr>
        <w:pStyle w:val="TextBody"/>
        <w:bidi w:val="0"/>
        <w:spacing w:before="120" w:after="0"/>
        <w:jc w:val="both"/>
        <w:rPr>
          <w:rFonts w:ascii="Times New Roman" w:hAnsi="Times New Roman"/>
          <w:sz w:val="20"/>
        </w:rPr>
      </w:pPr>
      <w:r>
        <w:rPr>
          <w:rFonts w:ascii="Times New Roman;serif" w:hAnsi="Times New Roman;serif"/>
          <w:b w:val="false"/>
          <w:sz w:val="20"/>
        </w:rPr>
        <w:t>In January 2022, concurrently with the Series 2022-1 Notes transaction, the Company repaid the Senior Bonds in full with the proceeds from the Series 2022-1 Notes and wrote off $0.5</w:t>
      </w:r>
      <w:r>
        <w:rPr>
          <w:rFonts w:ascii="Times New Roman" w:hAnsi="Times New Roman"/>
          <w:sz w:val="20"/>
        </w:rPr>
        <w:t xml:space="preserve"> </w:t>
      </w:r>
      <w:r>
        <w:rPr>
          <w:rFonts w:ascii="Times New Roman;serif" w:hAnsi="Times New Roman;serif"/>
          <w:b w:val="false"/>
          <w:sz w:val="20"/>
        </w:rPr>
        <w:t>million of unamortized debt issuance costs related to the previously outstanding Senior Bonds and $3.1</w:t>
      </w:r>
      <w:r>
        <w:rPr>
          <w:rFonts w:ascii="Times New Roman" w:hAnsi="Times New Roman"/>
          <w:sz w:val="20"/>
        </w:rPr>
        <w:t xml:space="preserve"> </w:t>
      </w:r>
      <w:r>
        <w:rPr>
          <w:rFonts w:ascii="Times New Roman;serif" w:hAnsi="Times New Roman;serif"/>
          <w:b w:val="false"/>
          <w:sz w:val="20"/>
        </w:rPr>
        <w:t>million of expenses related to lender fees on the Series 2022-1 Notes, which are included in loss on debt extinguishment on the condensed consolidated statements of operations and comprehensive loss.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Net debt issuance costs are presented as a direct reduction of the Company’s long-term debt in the condensed consolidated balance sheets and amount to $22.9</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as of June 30, 2023, and December 31, 2022, respectively. During the three months ended June 30, 2023, and 2022, the Company recorded amortization of $1.0</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to interest expense pertaining to debt issuance costs. During the six months ended June 30, 2023, and 2022, the Company recorded amortization of $1.0</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to interest expense pertaining to debt issuance costs.</w:t>
      </w:r>
    </w:p>
    <w:p>
      <w:pPr>
        <w:pStyle w:val="TextBody"/>
        <w:bidi w:val="0"/>
        <w:spacing w:before="360" w:after="0"/>
        <w:jc w:val="left"/>
        <w:rPr>
          <w:rFonts w:ascii="Times New Roman" w:hAnsi="Times New Roman"/>
          <w:b/>
          <w:sz w:val="20"/>
        </w:rPr>
      </w:pPr>
      <w:r>
        <w:rPr>
          <w:rFonts w:ascii="Times New Roman" w:hAnsi="Times New Roman"/>
          <w:b/>
          <w:sz w:val="20"/>
        </w:rPr>
        <w:t>10.</w:t>
      </w:r>
    </w:p>
    <w:p>
      <w:pPr>
        <w:pStyle w:val="TextBody"/>
        <w:bidi w:val="0"/>
        <w:spacing w:before="360" w:after="283"/>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120" w:after="0"/>
        <w:jc w:val="both"/>
        <w:rPr>
          <w:rFonts w:ascii="Times New Roman" w:hAnsi="Times New Roman"/>
          <w:sz w:val="20"/>
        </w:rPr>
      </w:pPr>
      <w:r>
        <w:rPr>
          <w:rFonts w:ascii="Times New Roman;serif" w:hAnsi="Times New Roman;serif"/>
          <w:b w:val="false"/>
          <w:i/>
          <w:sz w:val="20"/>
        </w:rPr>
        <w:t>Employment Agreements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entered into employment agreements with key personnel providing compensation and severance in certain circumstances, as defined in the respective employment agreements.</w:t>
      </w:r>
      <w:r>
        <w:rPr>
          <w:rFonts w:ascii="Times New Roman" w:hAnsi="Times New Roman"/>
          <w:sz w:val="20"/>
        </w:rPr>
        <w:t xml:space="preserve"> </w:t>
      </w:r>
    </w:p>
    <w:p>
      <w:pPr>
        <w:pStyle w:val="TextBody"/>
        <w:bidi w:val="0"/>
        <w:spacing w:before="360" w:after="0"/>
        <w:jc w:val="both"/>
        <w:rPr>
          <w:rFonts w:ascii="Times New Roman" w:hAnsi="Times New Roman"/>
          <w:sz w:val="20"/>
        </w:rPr>
      </w:pPr>
      <w:r>
        <w:rPr>
          <w:rFonts w:ascii="Times New Roman;serif" w:hAnsi="Times New Roman;serif"/>
          <w:b w:val="false"/>
          <w:i/>
          <w:sz w:val="20"/>
        </w:rPr>
        <w:t>Legal</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the normal course of business, the Company may receive inquiries or become involved in legal disputes that are not covered by insurance. While the Company intends to vigorously defend itself with respect to such disputes, any potential outcomes resulting from such claims would be inherently difficult to quantify.</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Indemnification Agreements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a breach of representation, covenant or third-party claims.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consolidated financial statements.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believes the estimated fair value of any obligation from these indemnification agreements is minimal; therefore, these condensed consolidated financial statements do not include a liability for any potential obligations at June 30, 2023.</w:t>
      </w:r>
    </w:p>
    <w:p>
      <w:pPr>
        <w:pStyle w:val="TextBody"/>
        <w:bidi w:val="0"/>
        <w:spacing w:before="360" w:after="0"/>
        <w:jc w:val="both"/>
        <w:rPr>
          <w:rFonts w:ascii="Times New Roman" w:hAnsi="Times New Roman"/>
          <w:b/>
          <w:sz w:val="20"/>
        </w:rPr>
      </w:pPr>
      <w:r>
        <w:rPr>
          <w:rFonts w:ascii="Times New Roman" w:hAnsi="Times New Roman"/>
          <w:b/>
          <w:sz w:val="20"/>
        </w:rPr>
        <w:t>11.</w:t>
      </w:r>
    </w:p>
    <w:p>
      <w:pPr>
        <w:pStyle w:val="TextBody"/>
        <w:bidi w:val="0"/>
        <w:spacing w:before="360" w:after="283"/>
        <w:jc w:val="both"/>
        <w:rPr>
          <w:rFonts w:ascii="Times New Roman;serif" w:hAnsi="Times New Roman;serif"/>
          <w:b/>
          <w:sz w:val="20"/>
        </w:rPr>
      </w:pPr>
      <w:r>
        <w:rPr>
          <w:rFonts w:ascii="Times New Roman;serif" w:hAnsi="Times New Roman;serif"/>
          <w:b/>
          <w:sz w:val="20"/>
        </w:rPr>
        <w:t>Common Stock and Convertible Preferred Stock</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Common Stock</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is authorized to issue 150,000,000</w:t>
      </w:r>
      <w:r>
        <w:rPr>
          <w:rFonts w:ascii="Times New Roman" w:hAnsi="Times New Roman"/>
          <w:sz w:val="20"/>
        </w:rPr>
        <w:t xml:space="preserve"> </w:t>
      </w:r>
      <w:r>
        <w:rPr>
          <w:rFonts w:ascii="Times New Roman;serif" w:hAnsi="Times New Roman;serif"/>
          <w:b w:val="false"/>
          <w:sz w:val="20"/>
        </w:rPr>
        <w:t xml:space="preserve">shares of Common Stock. Each share of Common Stock entitles the holder to one vote on all matters submitted to a vote of the Company’s stockholders. </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Business Combination, the Company issued 1,700,498</w:t>
      </w:r>
      <w:r>
        <w:rPr>
          <w:rFonts w:ascii="Times New Roman" w:hAnsi="Times New Roman"/>
          <w:sz w:val="20"/>
        </w:rPr>
        <w:t xml:space="preserve"> </w:t>
      </w:r>
      <w:r>
        <w:rPr>
          <w:rFonts w:ascii="Times New Roman;serif" w:hAnsi="Times New Roman;serif"/>
          <w:b w:val="false"/>
          <w:sz w:val="20"/>
        </w:rPr>
        <w:t>shares of Common Stock to former stockholders of ROCG and 118,021</w:t>
      </w:r>
      <w:r>
        <w:rPr>
          <w:rFonts w:ascii="Times New Roman" w:hAnsi="Times New Roman"/>
          <w:sz w:val="20"/>
        </w:rPr>
        <w:t xml:space="preserve"> </w:t>
      </w:r>
      <w:r>
        <w:rPr>
          <w:rFonts w:ascii="Times New Roman;serif" w:hAnsi="Times New Roman;serif"/>
          <w:b w:val="false"/>
          <w:sz w:val="20"/>
        </w:rPr>
        <w:t>shares of Common Stock to Roth Capital Partners, LLC.</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Common Stock Reserved for Future Issuance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Shares of Common Stock reserved for future issuance, on an as-if converted basis, were as follows:</w:t>
      </w:r>
    </w:p>
    <w:p>
      <w:pPr>
        <w:pStyle w:val="TextBody"/>
        <w:bidi w:val="0"/>
        <w:spacing w:before="0" w:after="0"/>
        <w:jc w:val="both"/>
        <w:rPr/>
      </w:pPr>
      <w:r>
        <w:rPr/>
        <w:t> </w:t>
      </w:r>
    </w:p>
    <w:tbl>
      <w:tblPr>
        <w:tblW w:w="7353" w:type="dxa"/>
        <w:jc w:val="left"/>
        <w:tblInd w:w="0" w:type="dxa"/>
        <w:tblLayout w:type="fixed"/>
        <w:tblCellMar>
          <w:top w:w="28" w:type="dxa"/>
          <w:left w:w="28" w:type="dxa"/>
          <w:bottom w:w="28" w:type="dxa"/>
          <w:right w:w="28" w:type="dxa"/>
        </w:tblCellMar>
      </w:tblPr>
      <w:tblGrid>
        <w:gridCol w:w="5371"/>
        <w:gridCol w:w="146"/>
        <w:gridCol w:w="190"/>
        <w:gridCol w:w="1355"/>
        <w:gridCol w:w="2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4,648,406</w:t>
            </w:r>
          </w:p>
        </w:tc>
        <w:tc>
          <w:tcPr>
            <w:tcW w:w="291"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warrants outstanding</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5,768,750</w:t>
            </w:r>
          </w:p>
        </w:tc>
        <w:tc>
          <w:tcPr>
            <w:tcW w:w="291"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potential conversion of L1 Convertible Note</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5,454,545</w:t>
            </w:r>
          </w:p>
        </w:tc>
        <w:tc>
          <w:tcPr>
            <w:tcW w:w="291"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fSight Contingent Shares</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258,033</w:t>
            </w:r>
          </w:p>
        </w:tc>
        <w:tc>
          <w:tcPr>
            <w:tcW w:w="291"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grant under 2023 Equity Incentive Plan</w:t>
            </w:r>
          </w:p>
        </w:tc>
        <w:tc>
          <w:tcPr>
            <w:tcW w:w="146" w:type="dxa"/>
            <w:tcBorders/>
            <w:vAlign w:val="center"/>
          </w:tcPr>
          <w:p>
            <w:pPr>
              <w:pStyle w:val="TableContents"/>
              <w:bidi w:val="0"/>
              <w:spacing w:before="0" w:after="0"/>
              <w:ind w:left="0" w:right="0" w:hanging="0"/>
              <w:jc w:val="lef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6,460,709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371"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22,590,443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Common Stock Warrants</w:t>
      </w:r>
    </w:p>
    <w:p>
      <w:pPr>
        <w:pStyle w:val="TextBody"/>
        <w:bidi w:val="0"/>
        <w:spacing w:before="120" w:after="0"/>
        <w:jc w:val="both"/>
        <w:rPr>
          <w:rFonts w:ascii="Times New Roman" w:hAnsi="Times New Roman"/>
          <w:sz w:val="20"/>
        </w:rPr>
      </w:pPr>
      <w:r>
        <w:rPr>
          <w:rFonts w:ascii="Times New Roman;serif" w:hAnsi="Times New Roman;serif"/>
          <w:b w:val="false"/>
          <w:sz w:val="20"/>
        </w:rPr>
        <w:t>Legacy Tigo had outstanding warrants to purchase 1,915,372</w:t>
      </w:r>
      <w:r>
        <w:rPr>
          <w:rFonts w:ascii="Times New Roman" w:hAnsi="Times New Roman"/>
          <w:sz w:val="20"/>
        </w:rPr>
        <w:t xml:space="preserve"> </w:t>
      </w:r>
      <w:r>
        <w:rPr>
          <w:rFonts w:ascii="Times New Roman;serif" w:hAnsi="Times New Roman;serif"/>
          <w:b w:val="false"/>
          <w:sz w:val="20"/>
        </w:rPr>
        <w:t>shares of Legacy Tigo common stock (“Legacy Warrants”), which (prior to the consummation of the Business Combination) represented rights to purchase Legacy Tigo common stock. During the three and six months ended June 30, 2023, 1,915,372</w:t>
      </w:r>
      <w:r>
        <w:rPr>
          <w:rFonts w:ascii="Times New Roman" w:hAnsi="Times New Roman"/>
          <w:sz w:val="20"/>
        </w:rPr>
        <w:t xml:space="preserve"> </w:t>
      </w:r>
      <w:r>
        <w:rPr>
          <w:rFonts w:ascii="Times New Roman;serif" w:hAnsi="Times New Roman;serif"/>
          <w:b w:val="false"/>
          <w:sz w:val="20"/>
        </w:rPr>
        <w:t>Legacy Warrants were net exercised resulting in the issuance of 1,491,229</w:t>
      </w:r>
      <w:r>
        <w:rPr>
          <w:rFonts w:ascii="Times New Roman" w:hAnsi="Times New Roman"/>
          <w:sz w:val="20"/>
        </w:rPr>
        <w:t xml:space="preserve"> </w:t>
      </w:r>
      <w:r>
        <w:rPr>
          <w:rFonts w:ascii="Times New Roman;serif" w:hAnsi="Times New Roman;serif"/>
          <w:b w:val="false"/>
          <w:sz w:val="20"/>
        </w:rPr>
        <w:t>shares of Common Stock. As of June 30, 2023, there were no</w:t>
      </w:r>
      <w:r>
        <w:rPr>
          <w:rFonts w:ascii="Times New Roman" w:hAnsi="Times New Roman"/>
          <w:sz w:val="20"/>
        </w:rPr>
        <w:t xml:space="preserve"> </w:t>
      </w:r>
      <w:r>
        <w:rPr>
          <w:rFonts w:ascii="Times New Roman;serif" w:hAnsi="Times New Roman;serif"/>
          <w:b w:val="false"/>
          <w:sz w:val="20"/>
        </w:rPr>
        <w:t>Legacy Warrants outstanding.</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Business Combination, the Company assumed 5,750,000</w:t>
      </w:r>
      <w:r>
        <w:rPr>
          <w:rFonts w:ascii="Times New Roman" w:hAnsi="Times New Roman"/>
          <w:sz w:val="20"/>
        </w:rPr>
        <w:t xml:space="preserve"> </w:t>
      </w:r>
      <w:r>
        <w:rPr>
          <w:rFonts w:ascii="Times New Roman;serif" w:hAnsi="Times New Roman;serif"/>
          <w:b w:val="false"/>
          <w:sz w:val="20"/>
        </w:rPr>
        <w:t>Public Warrants and 18,750</w:t>
      </w:r>
      <w:r>
        <w:rPr>
          <w:rFonts w:ascii="Times New Roman" w:hAnsi="Times New Roman"/>
          <w:sz w:val="20"/>
        </w:rPr>
        <w:t xml:space="preserve"> </w:t>
      </w:r>
      <w:r>
        <w:rPr>
          <w:rFonts w:ascii="Times New Roman;serif" w:hAnsi="Times New Roman;serif"/>
          <w:b w:val="false"/>
          <w:sz w:val="20"/>
        </w:rPr>
        <w:t>Private Warrants, which, in each case, entitle the holder to purchase one</w:t>
      </w:r>
      <w:r>
        <w:rPr>
          <w:rFonts w:ascii="Times New Roman" w:hAnsi="Times New Roman"/>
          <w:sz w:val="20"/>
        </w:rPr>
        <w:t xml:space="preserve"> </w:t>
      </w:r>
      <w:r>
        <w:rPr>
          <w:rFonts w:ascii="Times New Roman;serif" w:hAnsi="Times New Roman;serif"/>
          <w:b w:val="false"/>
          <w:sz w:val="20"/>
        </w:rPr>
        <w:t>share of Common Stock at an exercise price of $11.50</w:t>
      </w:r>
      <w:r>
        <w:rPr>
          <w:rFonts w:ascii="Times New Roman" w:hAnsi="Times New Roman"/>
          <w:sz w:val="20"/>
        </w:rPr>
        <w:t xml:space="preserve"> </w:t>
      </w:r>
      <w:r>
        <w:rPr>
          <w:rFonts w:ascii="Times New Roman;serif" w:hAnsi="Times New Roman;serif"/>
          <w:b w:val="false"/>
          <w:sz w:val="20"/>
        </w:rPr>
        <w:t>per share. During the three and six months ended June 30, 2023, there were no</w:t>
      </w:r>
      <w:r>
        <w:rPr>
          <w:rFonts w:ascii="Times New Roman" w:hAnsi="Times New Roman"/>
          <w:sz w:val="20"/>
        </w:rPr>
        <w:t xml:space="preserve"> </w:t>
      </w:r>
      <w:r>
        <w:rPr>
          <w:rFonts w:ascii="Times New Roman;serif" w:hAnsi="Times New Roman;serif"/>
          <w:b w:val="false"/>
          <w:sz w:val="20"/>
        </w:rPr>
        <w:t>exercises of the Warrants. The Warrants become exercisable 30 days after the completion of the Business Combination and upon the filing of an effective registration statement with the SEC, which had not occurred as of June 30, 2023. If an effective registration statement is not filed within 120 days following the Business Combination, the Warrants shall become exercisable on a cashless basis.</w:t>
      </w:r>
      <w:r>
        <w:rPr>
          <w:rFonts w:ascii="Times New Roman" w:hAnsi="Times New Roman"/>
          <w:sz w:val="20"/>
        </w:rPr>
        <w:t xml:space="preserve"> </w:t>
      </w:r>
      <w:r>
        <w:rPr>
          <w:rFonts w:ascii="Times New Roman;serif" w:hAnsi="Times New Roman;serif"/>
          <w:b w:val="false"/>
          <w:sz w:val="20"/>
        </w:rPr>
        <w:t>The Warrants will expire five years from the date of closing of the Business Combination.</w:t>
      </w:r>
      <w:r>
        <w:rPr>
          <w:rFonts w:ascii="Times New Roman" w:hAnsi="Times New Roman"/>
          <w:sz w:val="20"/>
        </w:rPr>
        <w:t xml:space="preserve"> </w:t>
      </w:r>
      <w:r>
        <w:rPr>
          <w:rFonts w:ascii="Times New Roman;serif" w:hAnsi="Times New Roman;serif"/>
          <w:b w:val="false"/>
          <w:sz w:val="20"/>
        </w:rPr>
        <w:t xml:space="preserve">Except with respect to certain registration rights and transfer restrictions, the Private Warrants are identical to the Public Warrants. The Company has analyzed the Warrants and determined they are considered to be freestanding instruments and do not exhibit any of the characteristics in </w:t>
      </w:r>
      <w:r>
        <w:rPr>
          <w:rFonts w:ascii="Times New Roman;serif" w:hAnsi="Times New Roman;serif"/>
          <w:b w:val="false"/>
          <w:i/>
          <w:sz w:val="20"/>
        </w:rPr>
        <w:t xml:space="preserve">ASC 480 </w:t>
      </w:r>
      <w:r>
        <w:rPr>
          <w:rFonts w:ascii="Times New Roman;serif" w:hAnsi="Times New Roman;serif"/>
          <w:b w:val="false"/>
          <w:sz w:val="20"/>
        </w:rPr>
        <w:t xml:space="preserve">and therefore are not classified as liabilities under </w:t>
      </w:r>
      <w:r>
        <w:rPr>
          <w:rFonts w:ascii="Times New Roman;serif" w:hAnsi="Times New Roman;serif"/>
          <w:b w:val="false"/>
          <w:i/>
          <w:sz w:val="20"/>
        </w:rPr>
        <w:t>ASC 480</w:t>
      </w:r>
      <w:r>
        <w:rPr>
          <w:rFonts w:ascii="Times New Roman;serif" w:hAnsi="Times New Roman;serif"/>
          <w:b w:val="false"/>
          <w:sz w:val="20"/>
        </w:rPr>
        <w:t>.</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Convertible Preferred Stock</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Business Combination, as discussed in Note 3, the Company issued 47,918,992</w:t>
      </w:r>
      <w:r>
        <w:rPr>
          <w:rFonts w:ascii="Times New Roman" w:hAnsi="Times New Roman"/>
          <w:sz w:val="20"/>
        </w:rPr>
        <w:t xml:space="preserve"> </w:t>
      </w:r>
      <w:r>
        <w:rPr>
          <w:rFonts w:ascii="Times New Roman;serif" w:hAnsi="Times New Roman;serif"/>
          <w:b w:val="false"/>
          <w:sz w:val="20"/>
        </w:rPr>
        <w:t>shares of Common Stock to holders of convertible preferred stock of Legacy Tigo. No</w:t>
      </w:r>
      <w:r>
        <w:rPr>
          <w:rFonts w:ascii="Times New Roman" w:hAnsi="Times New Roman"/>
          <w:sz w:val="20"/>
        </w:rPr>
        <w:t xml:space="preserve"> </w:t>
      </w:r>
      <w:r>
        <w:rPr>
          <w:rFonts w:ascii="Times New Roman;serif" w:hAnsi="Times New Roman;serif"/>
          <w:b w:val="false"/>
          <w:sz w:val="20"/>
        </w:rPr>
        <w:t>convertible preferred securities were outstanding as of June 30, 2023. Prior to the Business Combination, Legacy Tigo's convertible preferred stock was classified outside of stockholders’ deficit because the shares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contained deemed liquidation rights that were contingent redemption features not solely within the control of Legacy Tigo. As a result, all of Legacy Tigo's convertible preferred stock was classified as mezzanine equity.</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six months ended June 30, 2022, Legacy Tigo sold an aggregate of 4,175,321</w:t>
      </w:r>
      <w:r>
        <w:rPr>
          <w:rFonts w:ascii="Times New Roman" w:hAnsi="Times New Roman"/>
          <w:sz w:val="20"/>
        </w:rPr>
        <w:t xml:space="preserve"> </w:t>
      </w:r>
      <w:r>
        <w:rPr>
          <w:rFonts w:ascii="Times New Roman;serif" w:hAnsi="Times New Roman;serif"/>
          <w:b w:val="false"/>
          <w:sz w:val="20"/>
        </w:rPr>
        <w:t>shares of its Series E convertible preferred stock (“Series E”) in exchange for gross proceeds of $21.8</w:t>
      </w:r>
      <w:r>
        <w:rPr>
          <w:rFonts w:ascii="Times New Roman" w:hAnsi="Times New Roman"/>
          <w:sz w:val="20"/>
        </w:rPr>
        <w:t xml:space="preserve"> </w:t>
      </w:r>
      <w:r>
        <w:rPr>
          <w:rFonts w:ascii="Times New Roman;serif" w:hAnsi="Times New Roman;serif"/>
          <w:b w:val="false"/>
          <w:sz w:val="20"/>
        </w:rPr>
        <w:t>million. Legacy Tigo incurred $0.1</w:t>
      </w:r>
      <w:r>
        <w:rPr>
          <w:rFonts w:ascii="Times New Roman" w:hAnsi="Times New Roman"/>
          <w:sz w:val="20"/>
        </w:rPr>
        <w:t xml:space="preserve"> </w:t>
      </w:r>
      <w:r>
        <w:rPr>
          <w:rFonts w:ascii="Times New Roman;serif" w:hAnsi="Times New Roman;serif"/>
          <w:b w:val="false"/>
          <w:sz w:val="20"/>
        </w:rPr>
        <w:t>million in issuance costs for the Series E sale.</w:t>
      </w:r>
    </w:p>
    <w:p>
      <w:pPr>
        <w:pStyle w:val="TextBody"/>
        <w:bidi w:val="0"/>
        <w:spacing w:before="120" w:after="0"/>
        <w:jc w:val="both"/>
        <w:rPr>
          <w:rFonts w:ascii="Times New Roman" w:hAnsi="Times New Roman"/>
          <w:sz w:val="20"/>
        </w:rPr>
      </w:pPr>
      <w:r>
        <w:rPr>
          <w:rFonts w:ascii="Times New Roman;serif" w:hAnsi="Times New Roman;serif"/>
          <w:b w:val="false"/>
          <w:sz w:val="20"/>
        </w:rPr>
        <w:t>At December 31, 2022, convertible preferred stock consisted of the following. The Company has retroactively adjusted the shares issued and outstanding to reflect the exchange ratio of 0.233335</w:t>
      </w:r>
      <w:r>
        <w:rPr>
          <w:rFonts w:ascii="Times New Roman" w:hAnsi="Times New Roman"/>
          <w:sz w:val="20"/>
        </w:rPr>
        <w:t xml:space="preserve"> </w:t>
      </w:r>
      <w:r>
        <w:rPr>
          <w:rFonts w:ascii="Times New Roman;serif" w:hAnsi="Times New Roman;serif"/>
          <w:b w:val="false"/>
          <w:sz w:val="20"/>
        </w:rPr>
        <w:t>as described in Note 3.</w:t>
      </w:r>
    </w:p>
    <w:p>
      <w:pPr>
        <w:pStyle w:val="TextBody"/>
        <w:bidi w:val="0"/>
        <w:spacing w:before="0" w:after="0"/>
        <w:jc w:val="left"/>
        <w:rPr/>
      </w:pPr>
      <w:r>
        <w:rPr/>
        <w:t> </w:t>
      </w:r>
    </w:p>
    <w:tbl>
      <w:tblPr>
        <w:tblW w:w="8332"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1036"/>
        <w:gridCol w:w="146"/>
        <w:gridCol w:w="146"/>
        <w:gridCol w:w="211"/>
        <w:gridCol w:w="676"/>
        <w:gridCol w:w="146"/>
        <w:gridCol w:w="146"/>
        <w:gridCol w:w="211"/>
        <w:gridCol w:w="781"/>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for share data)</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Shares </w:t>
              <w:br/>
              <w:t>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Shares </w:t>
              <w:br/>
              <w:t xml:space="preserve">Issued and </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Carrying </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Aggregate </w:t>
              <w:br/>
              <w:t xml:space="preserve">Liquidation </w:t>
              <w:br/>
              <w:t>Preference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8,601,120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7,832,394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45,371</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11,513,253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11,513,253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29,831</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C-1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9,020,682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9,020,682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18,000</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6,318,524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6,070,151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13,442</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7,172,501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7,172,501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2,620</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2,918</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4,182</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1,604</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2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7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47,484,663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46,467,565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131,207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Convertible Preferred Stock Warrants</w:t>
      </w:r>
    </w:p>
    <w:p>
      <w:pPr>
        <w:pStyle w:val="TextBody"/>
        <w:bidi w:val="0"/>
        <w:spacing w:before="120" w:after="0"/>
        <w:jc w:val="both"/>
        <w:rPr>
          <w:rFonts w:ascii="Times New Roman" w:hAnsi="Times New Roman"/>
          <w:sz w:val="20"/>
        </w:rPr>
      </w:pPr>
      <w:r>
        <w:rPr>
          <w:rFonts w:ascii="Times New Roman;serif" w:hAnsi="Times New Roman;serif"/>
          <w:b w:val="false"/>
          <w:sz w:val="20"/>
        </w:rPr>
        <w:t>Warrants to purchase a total of 1,064,446</w:t>
      </w:r>
      <w:r>
        <w:rPr>
          <w:rFonts w:ascii="Times New Roman" w:hAnsi="Times New Roman"/>
          <w:sz w:val="20"/>
        </w:rPr>
        <w:t xml:space="preserve"> </w:t>
      </w:r>
      <w:r>
        <w:rPr>
          <w:rFonts w:ascii="Times New Roman;serif" w:hAnsi="Times New Roman;serif"/>
          <w:b w:val="false"/>
          <w:sz w:val="20"/>
        </w:rPr>
        <w:t>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w:t>
      </w:r>
      <w:r>
        <w:rPr>
          <w:rFonts w:ascii="Times New Roman" w:hAnsi="Times New Roman"/>
          <w:sz w:val="20"/>
        </w:rPr>
        <w:t xml:space="preserve"> </w:t>
      </w:r>
      <w:r>
        <w:rPr>
          <w:rFonts w:ascii="Times New Roman;serif" w:hAnsi="Times New Roman;serif"/>
          <w:b w:val="false"/>
          <w:sz w:val="20"/>
        </w:rPr>
        <w:t>shares of convertible preferred stock which were immediately converted into Common Stock in connection with the recapitalization. As of June 30, 2023, there were no</w:t>
      </w:r>
      <w:r>
        <w:rPr>
          <w:rFonts w:ascii="Times New Roman" w:hAnsi="Times New Roman"/>
          <w:sz w:val="20"/>
        </w:rPr>
        <w:t xml:space="preserve"> </w:t>
      </w:r>
      <w:r>
        <w:rPr>
          <w:rFonts w:ascii="Times New Roman;serif" w:hAnsi="Times New Roman;serif"/>
          <w:b w:val="false"/>
          <w:sz w:val="20"/>
        </w:rPr>
        <w:t>convertible preferred stock warrants outstanding.</w:t>
      </w:r>
    </w:p>
    <w:p>
      <w:pPr>
        <w:pStyle w:val="TextBody"/>
        <w:bidi w:val="0"/>
        <w:spacing w:before="360" w:after="0"/>
        <w:jc w:val="left"/>
        <w:rPr>
          <w:rFonts w:ascii="Times New Roman" w:hAnsi="Times New Roman"/>
          <w:b/>
          <w:sz w:val="20"/>
        </w:rPr>
      </w:pPr>
      <w:r>
        <w:rPr>
          <w:rFonts w:ascii="Times New Roman" w:hAnsi="Times New Roman"/>
          <w:b/>
          <w:sz w:val="20"/>
        </w:rPr>
        <w:t>12.</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w:t>
      </w:r>
      <w:r>
        <w:rPr>
          <w:rFonts w:ascii="Times New Roman" w:hAnsi="Times New Roman"/>
          <w:sz w:val="20"/>
        </w:rPr>
        <w:t xml:space="preserve"> </w:t>
      </w:r>
      <w:r>
        <w:rPr>
          <w:rFonts w:ascii="Times New Roman;serif" w:hAnsi="Times New Roman;serif"/>
          <w:b w:val="false"/>
          <w:sz w:val="20"/>
        </w:rPr>
        <w:t>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Through June 30, 2023, there have been no exercises of common stock options prior to the vesting of such options. Options outstanding under the 2008 Plan will remain outstanding until they are exercised, canceled or expire.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which the grantee owns greater than 10% of the Company’s capital stock and no longer than 10</w:t>
      </w:r>
      <w:r>
        <w:rPr>
          <w:rFonts w:ascii="Times New Roman" w:hAnsi="Times New Roman"/>
          <w:sz w:val="20"/>
        </w:rPr>
        <w:t xml:space="preserve"> </w:t>
      </w:r>
      <w:r>
        <w:rPr>
          <w:rFonts w:ascii="Times New Roman;serif" w:hAnsi="Times New Roman;serif"/>
          <w:b w:val="false"/>
          <w:sz w:val="20"/>
        </w:rPr>
        <w:t>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 Through June 30, 2023, there have been 1,458</w:t>
      </w:r>
      <w:r>
        <w:rPr>
          <w:rFonts w:ascii="Times New Roman" w:hAnsi="Times New Roman"/>
          <w:sz w:val="20"/>
        </w:rPr>
        <w:t xml:space="preserve"> </w:t>
      </w:r>
      <w:r>
        <w:rPr>
          <w:rFonts w:ascii="Times New Roman;serif" w:hAnsi="Times New Roman;serif"/>
          <w:b w:val="false"/>
          <w:sz w:val="20"/>
        </w:rPr>
        <w:t>exercises of common stock options prior to the vesting of such options.</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2023, the Company adopted the 2023 Equity Incentive Plan ("2023 Plan") under which the Company may issue stock options to purchase shares of common stock, award restricted stock, restricted stock units, dividend equivalents, stock appreciation rights, and other stock-based or cash-based awards to employees, Directors and consultants.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Through June 30, 2023, the Company has granted 298,013</w:t>
      </w:r>
      <w:r>
        <w:rPr>
          <w:rFonts w:ascii="Times New Roman" w:hAnsi="Times New Roman"/>
          <w:sz w:val="20"/>
        </w:rPr>
        <w:t xml:space="preserve"> </w:t>
      </w:r>
      <w:r>
        <w:rPr>
          <w:rFonts w:ascii="Times New Roman;serif" w:hAnsi="Times New Roman;serif"/>
          <w:b w:val="false"/>
          <w:sz w:val="20"/>
        </w:rPr>
        <w:t>options to purchase shares of common stock under the 2023 plan. The options generally vest over a four-year</w:t>
      </w:r>
      <w:r>
        <w:rPr>
          <w:rFonts w:ascii="Times New Roman" w:hAnsi="Times New Roman"/>
          <w:sz w:val="20"/>
        </w:rPr>
        <w:t xml:space="preserve"> </w:t>
      </w:r>
      <w:r>
        <w:rPr>
          <w:rFonts w:ascii="Times New Roman;serif" w:hAnsi="Times New Roman;serif"/>
          <w:b w:val="false"/>
          <w:sz w:val="20"/>
        </w:rPr>
        <w:t>period following the date of grant, with 25% vesting on the first anniversary of the grant date and the remaining vesting in equal monthly installments thereafter. Through June 30, 2023, none</w:t>
      </w:r>
      <w:r>
        <w:rPr>
          <w:rFonts w:ascii="Times New Roman" w:hAnsi="Times New Roman"/>
          <w:sz w:val="20"/>
        </w:rPr>
        <w:t xml:space="preserve"> </w:t>
      </w:r>
      <w:r>
        <w:rPr>
          <w:rFonts w:ascii="Times New Roman;serif" w:hAnsi="Times New Roman;serif"/>
          <w:b w:val="false"/>
          <w:sz w:val="20"/>
        </w:rPr>
        <w:t>of the options under the 2023 plan have vested and there have been no</w:t>
      </w:r>
      <w:r>
        <w:rPr>
          <w:rFonts w:ascii="Times New Roman" w:hAnsi="Times New Roman"/>
          <w:sz w:val="20"/>
        </w:rPr>
        <w:t xml:space="preserve"> </w:t>
      </w:r>
      <w:r>
        <w:rPr>
          <w:rFonts w:ascii="Times New Roman;serif" w:hAnsi="Times New Roman;serif"/>
          <w:b w:val="false"/>
          <w:sz w:val="20"/>
        </w:rPr>
        <w:t>exercises of any options.</w:t>
      </w:r>
    </w:p>
    <w:p>
      <w:pPr>
        <w:pStyle w:val="TextBody"/>
        <w:bidi w:val="0"/>
        <w:spacing w:before="120" w:after="0"/>
        <w:jc w:val="both"/>
        <w:rPr>
          <w:rFonts w:ascii="Times New Roman" w:hAnsi="Times New Roman"/>
          <w:sz w:val="20"/>
        </w:rPr>
      </w:pPr>
      <w:r>
        <w:rPr>
          <w:rFonts w:ascii="Times New Roman;serif" w:hAnsi="Times New Roman;serif"/>
          <w:b w:val="false"/>
          <w:sz w:val="20"/>
        </w:rPr>
        <w:t>Collectively, the 2008 Stock Plan, 2018 Stock Plan and the 2023 Equity Incentive Plan are referred to as “the Plans”. The Company has reserved 6,460,709</w:t>
      </w:r>
      <w:r>
        <w:rPr>
          <w:rFonts w:ascii="Times New Roman" w:hAnsi="Times New Roman"/>
          <w:sz w:val="20"/>
        </w:rPr>
        <w:t xml:space="preserve"> </w:t>
      </w:r>
      <w:r>
        <w:rPr>
          <w:rFonts w:ascii="Times New Roman;serif" w:hAnsi="Times New Roman;serif"/>
          <w:b w:val="false"/>
          <w:sz w:val="20"/>
        </w:rPr>
        <w:t>shares of common stock for future issuance under the Plans.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and comprehensive loss: </w:t>
      </w:r>
    </w:p>
    <w:p>
      <w:pPr>
        <w:pStyle w:val="TextBody"/>
        <w:bidi w:val="0"/>
        <w:spacing w:before="0" w:after="0"/>
        <w:jc w:val="both"/>
        <w:rPr/>
      </w:pPr>
      <w:r>
        <w:rPr/>
        <w:t> </w:t>
      </w:r>
    </w:p>
    <w:tbl>
      <w:tblPr>
        <w:tblW w:w="8106" w:type="dxa"/>
        <w:jc w:val="left"/>
        <w:tblInd w:w="0" w:type="dxa"/>
        <w:tblLayout w:type="fixed"/>
        <w:tblCellMar>
          <w:top w:w="28" w:type="dxa"/>
          <w:left w:w="28" w:type="dxa"/>
          <w:bottom w:w="28" w:type="dxa"/>
          <w:right w:w="28" w:type="dxa"/>
        </w:tblCellMar>
      </w:tblPr>
      <w:tblGrid>
        <w:gridCol w:w="2946"/>
        <w:gridCol w:w="146"/>
        <w:gridCol w:w="289"/>
        <w:gridCol w:w="577"/>
        <w:gridCol w:w="474"/>
        <w:gridCol w:w="200"/>
        <w:gridCol w:w="289"/>
        <w:gridCol w:w="433"/>
        <w:gridCol w:w="146"/>
        <w:gridCol w:w="146"/>
        <w:gridCol w:w="301"/>
        <w:gridCol w:w="600"/>
        <w:gridCol w:w="208"/>
        <w:gridCol w:w="208"/>
        <w:gridCol w:w="301"/>
        <w:gridCol w:w="451"/>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0" w:type="dxa"/>
            <w:tcBorders/>
            <w:vAlign w:val="center"/>
          </w:tcPr>
          <w:p>
            <w:pPr>
              <w:pStyle w:val="TableContents"/>
              <w:bidi w:val="0"/>
              <w:spacing w:before="0" w:after="0"/>
              <w:ind w:left="0" w:right="0" w:hanging="0"/>
              <w:jc w:val="center"/>
              <w:rPr/>
            </w:pPr>
            <w:r>
              <w:rPr/>
              <w:t> </w:t>
            </w:r>
          </w:p>
        </w:tc>
        <w:tc>
          <w:tcPr>
            <w:tcW w:w="7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474"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vAlign w:val="center"/>
          </w:tcPr>
          <w:p>
            <w:pPr>
              <w:pStyle w:val="TableContents"/>
              <w:bidi w:val="0"/>
              <w:spacing w:before="0" w:after="0"/>
              <w:ind w:left="0" w:right="0" w:hanging="0"/>
              <w:jc w:val="left"/>
              <w:rPr/>
            </w:pPr>
            <w:r>
              <w:rPr/>
              <w:t> </w:t>
            </w:r>
          </w:p>
        </w:tc>
      </w:tr>
      <w:tr>
        <w:trPr/>
        <w:tc>
          <w:tcPr>
            <w:tcW w:w="2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474"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vAlign w:val="center"/>
          </w:tcPr>
          <w:p>
            <w:pPr>
              <w:pStyle w:val="TableContents"/>
              <w:bidi w:val="0"/>
              <w:spacing w:before="0" w:after="0"/>
              <w:ind w:left="0" w:right="0" w:hanging="0"/>
              <w:jc w:val="left"/>
              <w:rPr/>
            </w:pPr>
            <w:r>
              <w:rPr/>
              <w:t> </w:t>
            </w:r>
          </w:p>
        </w:tc>
      </w:tr>
      <w:tr>
        <w:trPr/>
        <w:tc>
          <w:tcPr>
            <w:tcW w:w="2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474"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vAlign w:val="center"/>
          </w:tcPr>
          <w:p>
            <w:pPr>
              <w:pStyle w:val="TableContents"/>
              <w:bidi w:val="0"/>
              <w:spacing w:before="0" w:after="0"/>
              <w:ind w:left="0" w:right="0" w:hanging="0"/>
              <w:jc w:val="left"/>
              <w:rPr/>
            </w:pPr>
            <w:r>
              <w:rPr/>
              <w:t> </w:t>
            </w:r>
          </w:p>
        </w:tc>
      </w:tr>
      <w:tr>
        <w:trPr/>
        <w:tc>
          <w:tcPr>
            <w:tcW w:w="2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4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stock-based compensation</w:t>
            </w:r>
          </w:p>
        </w:tc>
        <w:tc>
          <w:tcPr>
            <w:tcW w:w="146" w:type="dxa"/>
            <w:tcBorders/>
            <w:vAlign w:val="center"/>
          </w:tcPr>
          <w:p>
            <w:pPr>
              <w:pStyle w:val="TableContents"/>
              <w:bidi w:val="0"/>
              <w:spacing w:before="0" w:after="0"/>
              <w:ind w:left="20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47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200" w:type="dxa"/>
            <w:tcBorders/>
            <w:vAlign w:val="center"/>
          </w:tcPr>
          <w:p>
            <w:pPr>
              <w:pStyle w:val="TableContents"/>
              <w:bidi w:val="0"/>
              <w:spacing w:before="0" w:after="0"/>
              <w:ind w:left="20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summarizes stock option activity for the Plans for the six months ended June 30, 2023:</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370"/>
        <w:gridCol w:w="146"/>
        <w:gridCol w:w="146"/>
        <w:gridCol w:w="931"/>
        <w:gridCol w:w="166"/>
        <w:gridCol w:w="146"/>
        <w:gridCol w:w="322"/>
        <w:gridCol w:w="714"/>
        <w:gridCol w:w="146"/>
        <w:gridCol w:w="146"/>
        <w:gridCol w:w="236"/>
        <w:gridCol w:w="759"/>
        <w:gridCol w:w="146"/>
        <w:gridCol w:w="146"/>
        <w:gridCol w:w="568"/>
        <w:gridCol w:w="1822"/>
        <w:gridCol w:w="295"/>
      </w:tblGrid>
      <w:tr>
        <w:trPr/>
        <w:tc>
          <w:tcPr>
            <w:tcW w:w="3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 (in 000's)</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4,269,402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38,929</w:t>
            </w:r>
          </w:p>
        </w:tc>
        <w:tc>
          <w:tcPr>
            <w:tcW w:w="295" w:type="dxa"/>
            <w:tcBorders/>
            <w:vAlign w:val="center"/>
          </w:tcPr>
          <w:p>
            <w:pPr>
              <w:pStyle w:val="TableContents"/>
              <w:bidi w:val="0"/>
              <w:spacing w:before="0" w:after="0"/>
              <w:ind w:left="0" w:right="0" w:firstLine="100"/>
              <w:jc w:val="left"/>
              <w:rPr/>
            </w:pPr>
            <w:r>
              <w:rPr/>
              <w:t> </w:t>
            </w:r>
          </w:p>
        </w:tc>
      </w:tr>
      <w:tr>
        <w:trPr/>
        <w:tc>
          <w:tcPr>
            <w:tcW w:w="3370"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617,009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0" w:type="dxa"/>
            <w:gridSpan w:val="2"/>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firstLine="100"/>
              <w:jc w:val="right"/>
              <w:rPr/>
            </w:pPr>
            <w:r>
              <w:rPr/>
              <w:t> </w:t>
            </w:r>
          </w:p>
        </w:tc>
      </w:tr>
      <w:tr>
        <w:trPr/>
        <w:tc>
          <w:tcPr>
            <w:tcW w:w="3370"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(151,338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0" w:type="dxa"/>
            <w:gridSpan w:val="2"/>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firstLine="100"/>
              <w:jc w:val="right"/>
              <w:rPr/>
            </w:pPr>
            <w:r>
              <w:rPr/>
              <w:t> </w:t>
            </w:r>
          </w:p>
        </w:tc>
      </w:tr>
      <w:tr>
        <w:trPr/>
        <w:tc>
          <w:tcPr>
            <w:tcW w:w="3370"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0" w:type="dxa"/>
            <w:gridSpan w:val="2"/>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right"/>
              <w:rPr/>
            </w:pPr>
            <w:r>
              <w:rPr/>
              <w:t> </w:t>
            </w:r>
          </w:p>
        </w:tc>
      </w:tr>
      <w:tr>
        <w:trPr/>
        <w:tc>
          <w:tcPr>
            <w:tcW w:w="3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4,648,406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76,195</w:t>
            </w:r>
          </w:p>
        </w:tc>
        <w:tc>
          <w:tcPr>
            <w:tcW w:w="295" w:type="dxa"/>
            <w:tcBorders/>
            <w:vAlign w:val="center"/>
          </w:tcPr>
          <w:p>
            <w:pPr>
              <w:pStyle w:val="TableContents"/>
              <w:bidi w:val="0"/>
              <w:spacing w:before="0" w:after="0"/>
              <w:ind w:left="0" w:right="0" w:hanging="0"/>
              <w:jc w:val="left"/>
              <w:rPr/>
            </w:pPr>
            <w:r>
              <w:rPr/>
              <w:t> </w:t>
            </w:r>
          </w:p>
        </w:tc>
      </w:tr>
      <w:tr>
        <w:trPr/>
        <w:tc>
          <w:tcPr>
            <w:tcW w:w="3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2,746,023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49,087</w:t>
            </w:r>
          </w:p>
        </w:tc>
        <w:tc>
          <w:tcPr>
            <w:tcW w:w="295" w:type="dxa"/>
            <w:tcBorders/>
            <w:vAlign w:val="center"/>
          </w:tcPr>
          <w:p>
            <w:pPr>
              <w:pStyle w:val="TableContents"/>
              <w:bidi w:val="0"/>
              <w:spacing w:before="0" w:after="0"/>
              <w:ind w:left="0" w:right="0" w:hanging="0"/>
              <w:jc w:val="left"/>
              <w:rPr/>
            </w:pPr>
            <w:r>
              <w:rPr/>
              <w:t> </w:t>
            </w:r>
          </w:p>
        </w:tc>
      </w:tr>
      <w:tr>
        <w:trPr/>
        <w:tc>
          <w:tcPr>
            <w:tcW w:w="33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4,649,864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0" w:type="dxa"/>
            <w:gridSpan w:val="2"/>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shares of the Company’s stock options prior to the Business Combination (as defined in Note 1) have been retroactively restated to reflect the exchange ratio of approximately 0.233335</w:t>
      </w:r>
      <w:r>
        <w:rPr>
          <w:rFonts w:ascii="Times New Roman" w:hAnsi="Times New Roman"/>
          <w:sz w:val="20"/>
        </w:rPr>
        <w:t xml:space="preserve"> </w:t>
      </w:r>
      <w:r>
        <w:rPr>
          <w:rFonts w:ascii="Times New Roman;serif" w:hAnsi="Times New Roman;serif"/>
          <w:b w:val="false"/>
          <w:sz w:val="20"/>
        </w:rPr>
        <w:t>established in the Business Combination as described in Note 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the total unrecognized compensation expense related to unvested stock option awards was $6.5</w:t>
      </w:r>
      <w:r>
        <w:rPr>
          <w:rFonts w:ascii="Times New Roman" w:hAnsi="Times New Roman"/>
          <w:sz w:val="20"/>
        </w:rPr>
        <w:t xml:space="preserve"> </w:t>
      </w:r>
      <w:r>
        <w:rPr>
          <w:rFonts w:ascii="Times New Roman;serif" w:hAnsi="Times New Roman;serif"/>
          <w:b w:val="false"/>
          <w:sz w:val="20"/>
        </w:rPr>
        <w:t>million, which the Company expects to recognize over a weighted-average period of 3.2</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The expected term of employee options with service-based vesting is determined using the “simplified” method, as prescribed in the U.S. Securities and Exchange Commission’s Staff Accounting Bulletin (“SAB”) No. 107, whereby the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expected dividend yield is 0% because the Company has not historically paid and does not expect for the foreseeable future to pay a dividend on its common stock.</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120" w:after="0"/>
        <w:jc w:val="both"/>
        <w:rPr>
          <w:rFonts w:ascii="Times New Roman" w:hAnsi="Times New Roman"/>
          <w:sz w:val="20"/>
        </w:rPr>
      </w:pPr>
      <w:r>
        <w:rPr>
          <w:rFonts w:ascii="Times New Roman;serif" w:hAnsi="Times New Roman;serif"/>
          <w:b w:val="false"/>
          <w:sz w:val="20"/>
        </w:rPr>
        <w:t>The fair value of each option was estimated on the date of grant using the weighted average assumptions in the table below:</w:t>
      </w:r>
      <w:r>
        <w:rPr>
          <w:rFonts w:ascii="Times New Roman" w:hAnsi="Times New Roman"/>
          <w:sz w:val="20"/>
        </w:rPr>
        <w:t xml:space="preserve"> </w:t>
      </w:r>
    </w:p>
    <w:p>
      <w:pPr>
        <w:pStyle w:val="TextBody"/>
        <w:bidi w:val="0"/>
        <w:spacing w:before="0" w:after="0"/>
        <w:jc w:val="both"/>
        <w:rPr/>
      </w:pPr>
      <w:r>
        <w:rPr/>
        <w:t> </w:t>
      </w:r>
    </w:p>
    <w:tbl>
      <w:tblPr>
        <w:tblW w:w="5260" w:type="dxa"/>
        <w:jc w:val="left"/>
        <w:tblInd w:w="0" w:type="dxa"/>
        <w:tblLayout w:type="fixed"/>
        <w:tblCellMar>
          <w:top w:w="28" w:type="dxa"/>
          <w:left w:w="28" w:type="dxa"/>
          <w:bottom w:w="28" w:type="dxa"/>
          <w:right w:w="28" w:type="dxa"/>
        </w:tblCellMar>
      </w:tblPr>
      <w:tblGrid>
        <w:gridCol w:w="2131"/>
        <w:gridCol w:w="146"/>
        <w:gridCol w:w="268"/>
        <w:gridCol w:w="857"/>
        <w:gridCol w:w="271"/>
        <w:gridCol w:w="146"/>
        <w:gridCol w:w="268"/>
        <w:gridCol w:w="85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13.</w:t>
      </w:r>
    </w:p>
    <w:p>
      <w:pPr>
        <w:pStyle w:val="TextBody"/>
        <w:bidi w:val="0"/>
        <w:spacing w:before="160" w:after="283"/>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a lessee, the Company currently leases office space and vehicles in the United States, Italy, Israel, China, and Thailand. All of the Company leases are classified as operating leases. The Company has no leases classified as finance or sales-type leases. For leases with terms greater than 12 months, the Company records the related assets and obligation at the present value of lease payments over the term. Many of its leases include rental escalation clauses, renewal options and/or termination options that are factored into the Company’s determination of lease payments.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seven years, some of which include options to extend the leases for up to eight years, and some of which include options to terminate the leases within one year.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components of lease expense are as follows (in thousands):</w:t>
      </w:r>
    </w:p>
    <w:p>
      <w:pPr>
        <w:pStyle w:val="TextBody"/>
        <w:bidi w:val="0"/>
        <w:spacing w:before="0" w:after="0"/>
        <w:jc w:val="both"/>
        <w:rPr/>
      </w:pPr>
      <w:r>
        <w:rPr/>
        <w:t> </w:t>
      </w:r>
    </w:p>
    <w:tbl>
      <w:tblPr>
        <w:tblW w:w="6995" w:type="dxa"/>
        <w:jc w:val="left"/>
        <w:tblInd w:w="0" w:type="dxa"/>
        <w:tblLayout w:type="fixed"/>
        <w:tblCellMar>
          <w:top w:w="28" w:type="dxa"/>
          <w:left w:w="28" w:type="dxa"/>
          <w:bottom w:w="28" w:type="dxa"/>
          <w:right w:w="28" w:type="dxa"/>
        </w:tblCellMar>
      </w:tblPr>
      <w:tblGrid>
        <w:gridCol w:w="1831"/>
        <w:gridCol w:w="146"/>
        <w:gridCol w:w="754"/>
        <w:gridCol w:w="1511"/>
        <w:gridCol w:w="146"/>
        <w:gridCol w:w="146"/>
        <w:gridCol w:w="689"/>
        <w:gridCol w:w="138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vAlign w:val="center"/>
          </w:tcPr>
          <w:p>
            <w:pPr>
              <w:pStyle w:val="TableContents"/>
              <w:bidi w:val="0"/>
              <w:spacing w:before="0" w:after="0"/>
              <w:ind w:left="0" w:right="0" w:hanging="0"/>
              <w:jc w:val="center"/>
              <w:rPr/>
            </w:pPr>
            <w:r>
              <w:rPr/>
              <w:t> </w:t>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391" w:type="dxa"/>
            <w:tcBorders/>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Variable lease costs</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Other information related to leases was as follows:</w:t>
      </w:r>
    </w:p>
    <w:p>
      <w:pPr>
        <w:pStyle w:val="TextBody"/>
        <w:bidi w:val="0"/>
        <w:spacing w:before="0" w:after="0"/>
        <w:jc w:val="both"/>
        <w:rPr/>
      </w:pPr>
      <w:r>
        <w:rPr/>
        <w:t> </w:t>
      </w:r>
    </w:p>
    <w:tbl>
      <w:tblPr>
        <w:tblW w:w="8313" w:type="dxa"/>
        <w:jc w:val="left"/>
        <w:tblInd w:w="0" w:type="dxa"/>
        <w:tblLayout w:type="fixed"/>
        <w:tblCellMar>
          <w:top w:w="28" w:type="dxa"/>
          <w:left w:w="28" w:type="dxa"/>
          <w:bottom w:w="28" w:type="dxa"/>
          <w:right w:w="28" w:type="dxa"/>
        </w:tblCellMar>
      </w:tblPr>
      <w:tblGrid>
        <w:gridCol w:w="5806"/>
        <w:gridCol w:w="146"/>
        <w:gridCol w:w="689"/>
        <w:gridCol w:w="1381"/>
        <w:gridCol w:w="2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vAlign w:val="center"/>
          </w:tcPr>
          <w:p>
            <w:pPr>
              <w:pStyle w:val="TableContents"/>
              <w:bidi w:val="0"/>
              <w:spacing w:before="0" w:after="0"/>
              <w:ind w:left="0" w:right="0" w:hanging="0"/>
              <w:jc w:val="center"/>
              <w:rPr/>
            </w:pPr>
            <w:r>
              <w:rPr/>
              <w:t> </w:t>
            </w:r>
          </w:p>
        </w:tc>
      </w:tr>
      <w:tr>
        <w:trPr/>
        <w:tc>
          <w:tcPr>
            <w:tcW w:w="58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Cash Flows Information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58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480" w:type="dxa"/>
        <w:jc w:val="left"/>
        <w:tblInd w:w="0" w:type="dxa"/>
        <w:tblLayout w:type="fixed"/>
        <w:tblCellMar>
          <w:top w:w="28" w:type="dxa"/>
          <w:left w:w="28" w:type="dxa"/>
          <w:bottom w:w="28" w:type="dxa"/>
          <w:right w:w="28" w:type="dxa"/>
        </w:tblCellMar>
      </w:tblPr>
      <w:tblGrid>
        <w:gridCol w:w="3901"/>
        <w:gridCol w:w="146"/>
        <w:gridCol w:w="324"/>
        <w:gridCol w:w="801"/>
        <w:gridCol w:w="271"/>
        <w:gridCol w:w="146"/>
        <w:gridCol w:w="430"/>
        <w:gridCol w:w="1070"/>
        <w:gridCol w:w="3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1"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Future maturities of lease liabilities were as follows as of June 30, 2023:</w:t>
      </w:r>
    </w:p>
    <w:p>
      <w:pPr>
        <w:pStyle w:val="TextBody"/>
        <w:bidi w:val="0"/>
        <w:spacing w:before="0" w:after="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391" w:type="dxa"/>
            <w:tcBorders/>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391" w:type="dxa"/>
            <w:tcBorders/>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391" w:type="dxa"/>
            <w:tcBorders/>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391" w:type="dxa"/>
            <w:tcBorders/>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minimum lease payments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both"/>
        <w:rPr>
          <w:rFonts w:ascii="Times New Roman" w:hAnsi="Times New Roman"/>
          <w:b/>
          <w:sz w:val="20"/>
        </w:rPr>
      </w:pPr>
      <w:r>
        <w:rPr>
          <w:rFonts w:ascii="Times New Roman" w:hAnsi="Times New Roman"/>
          <w:b/>
          <w:sz w:val="20"/>
        </w:rPr>
        <w:t>14.</w:t>
      </w:r>
    </w:p>
    <w:p>
      <w:pPr>
        <w:pStyle w:val="TextBody"/>
        <w:bidi w:val="0"/>
        <w:spacing w:before="160" w:after="283"/>
        <w:jc w:val="both"/>
        <w:rPr>
          <w:rFonts w:ascii="Times New Roman;serif" w:hAnsi="Times New Roman;serif"/>
          <w:b/>
          <w:sz w:val="20"/>
        </w:rPr>
      </w:pPr>
      <w:r>
        <w:rPr>
          <w:rFonts w:ascii="Times New Roman;serif" w:hAnsi="Times New Roman;serif"/>
          <w:b/>
          <w:sz w:val="20"/>
        </w:rPr>
        <w:t>Goodwill and Intangible Assets</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the Company had a goodwill balance of $13.1</w:t>
      </w:r>
      <w:r>
        <w:rPr>
          <w:rFonts w:ascii="Times New Roman" w:hAnsi="Times New Roman"/>
          <w:sz w:val="20"/>
        </w:rPr>
        <w:t xml:space="preserve"> </w:t>
      </w:r>
      <w:r>
        <w:rPr>
          <w:rFonts w:ascii="Times New Roman;serif" w:hAnsi="Times New Roman;serif"/>
          <w:b w:val="false"/>
          <w:sz w:val="20"/>
        </w:rPr>
        <w:t>million. The goodwill balance is primarily related to the acquisition of fSight, refer to "Note 4" for further information.</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intangible assets by major asset class are as follows: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748"/>
        <w:gridCol w:w="146"/>
        <w:gridCol w:w="2286"/>
        <w:gridCol w:w="146"/>
        <w:gridCol w:w="211"/>
        <w:gridCol w:w="571"/>
        <w:gridCol w:w="146"/>
        <w:gridCol w:w="146"/>
        <w:gridCol w:w="146"/>
        <w:gridCol w:w="545"/>
        <w:gridCol w:w="1247"/>
        <w:gridCol w:w="166"/>
        <w:gridCol w:w="146"/>
        <w:gridCol w:w="146"/>
        <w:gridCol w:w="301"/>
        <w:gridCol w:w="814"/>
        <w:gridCol w:w="294"/>
      </w:tblGrid>
      <w:tr>
        <w:trPr/>
        <w:tc>
          <w:tcPr>
            <w:tcW w:w="2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4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1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for useful life amounts)</w:t>
            </w:r>
          </w:p>
        </w:tc>
        <w:tc>
          <w:tcPr>
            <w:tcW w:w="146" w:type="dxa"/>
            <w:tcBorders/>
            <w:vAlign w:val="center"/>
          </w:tcPr>
          <w:p>
            <w:pPr>
              <w:pStyle w:val="TableContents"/>
              <w:bidi w:val="0"/>
              <w:spacing w:before="0" w:after="0"/>
              <w:ind w:left="0" w:right="0" w:hanging="0"/>
              <w:jc w:val="center"/>
              <w:rPr/>
            </w:pPr>
            <w:r>
              <w:rPr/>
              <w:t> </w:t>
            </w:r>
          </w:p>
        </w:tc>
        <w:tc>
          <w:tcPr>
            <w:tcW w:w="2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Useful 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Amortizing:</w:t>
            </w:r>
          </w:p>
        </w:tc>
        <w:tc>
          <w:tcPr>
            <w:tcW w:w="146" w:type="dxa"/>
            <w:tcBorders/>
            <w:vAlign w:val="center"/>
          </w:tcPr>
          <w:p>
            <w:pPr>
              <w:pStyle w:val="TableContents"/>
              <w:bidi w:val="0"/>
              <w:spacing w:before="0" w:after="0"/>
              <w:ind w:left="0" w:right="0" w:hanging="0"/>
              <w:jc w:val="left"/>
              <w:rPr/>
            </w:pPr>
            <w:r>
              <w:rPr/>
              <w:t> </w:t>
            </w:r>
          </w:p>
        </w:tc>
        <w:tc>
          <w:tcPr>
            <w:tcW w:w="2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firstLine="100"/>
              <w:jc w:val="left"/>
              <w:rPr/>
            </w:pPr>
            <w:r>
              <w:rPr/>
              <w:t> </w:t>
            </w:r>
          </w:p>
        </w:tc>
      </w:tr>
      <w:tr>
        <w:trPr/>
        <w:tc>
          <w:tcPr>
            <w:tcW w:w="27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22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294" w:type="dxa"/>
            <w:tcBorders/>
            <w:vAlign w:val="center"/>
          </w:tcPr>
          <w:p>
            <w:pPr>
              <w:pStyle w:val="TableContents"/>
              <w:bidi w:val="0"/>
              <w:spacing w:before="0" w:after="0"/>
              <w:ind w:left="0" w:right="0" w:firstLine="100"/>
              <w:jc w:val="left"/>
              <w:rPr/>
            </w:pPr>
            <w:r>
              <w:rPr/>
              <w:t> </w:t>
            </w:r>
          </w:p>
        </w:tc>
      </w:tr>
      <w:tr>
        <w:trPr/>
        <w:tc>
          <w:tcPr>
            <w:tcW w:w="27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2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2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94" w:type="dxa"/>
            <w:tcBorders/>
            <w:vAlign w:val="center"/>
          </w:tcPr>
          <w:p>
            <w:pPr>
              <w:pStyle w:val="TableContents"/>
              <w:bidi w:val="0"/>
              <w:spacing w:before="0" w:after="0"/>
              <w:ind w:left="0" w:right="0" w:firstLine="100"/>
              <w:jc w:val="left"/>
              <w:rPr/>
            </w:pPr>
            <w:r>
              <w:rPr/>
              <w:t> </w:t>
            </w:r>
          </w:p>
        </w:tc>
      </w:tr>
      <w:tr>
        <w:trPr/>
        <w:tc>
          <w:tcPr>
            <w:tcW w:w="274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2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intangible assets</w:t>
            </w:r>
          </w:p>
        </w:tc>
        <w:tc>
          <w:tcPr>
            <w:tcW w:w="146" w:type="dxa"/>
            <w:tcBorders/>
            <w:vAlign w:val="center"/>
          </w:tcPr>
          <w:p>
            <w:pPr>
              <w:pStyle w:val="TableContents"/>
              <w:bidi w:val="0"/>
              <w:spacing w:before="0" w:after="0"/>
              <w:ind w:left="0" w:right="0" w:hanging="0"/>
              <w:jc w:val="left"/>
              <w:rPr/>
            </w:pPr>
            <w:r>
              <w:rPr/>
              <w:t> </w:t>
            </w:r>
          </w:p>
        </w:tc>
        <w:tc>
          <w:tcPr>
            <w:tcW w:w="2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2,327</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December 31, 2022, the Company did not have any intangible assets.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recognized amortization expense related to intangible assets of $67,000</w:t>
      </w:r>
      <w:r>
        <w:rPr>
          <w:rFonts w:ascii="Times New Roman" w:hAnsi="Times New Roman"/>
          <w:sz w:val="20"/>
        </w:rPr>
        <w:t xml:space="preserve"> </w:t>
      </w:r>
      <w:r>
        <w:rPr>
          <w:rFonts w:ascii="Times New Roman;serif" w:hAnsi="Times New Roman;serif"/>
          <w:b w:val="false"/>
          <w:sz w:val="20"/>
        </w:rPr>
        <w:t>for the three months ended June 30, 2023, and none</w:t>
      </w:r>
      <w:r>
        <w:rPr>
          <w:rFonts w:ascii="Times New Roman" w:hAnsi="Times New Roman"/>
          <w:sz w:val="20"/>
        </w:rPr>
        <w:t xml:space="preserve"> </w:t>
      </w:r>
      <w:r>
        <w:rPr>
          <w:rFonts w:ascii="Times New Roman;serif" w:hAnsi="Times New Roman;serif"/>
          <w:b w:val="false"/>
          <w:sz w:val="20"/>
        </w:rPr>
        <w:t>for the three months ended June 30, 2022. The Company recognized amortization expense related to acquired intangible assets of $0.1</w:t>
      </w:r>
      <w:r>
        <w:rPr>
          <w:rFonts w:ascii="Times New Roman" w:hAnsi="Times New Roman"/>
          <w:sz w:val="20"/>
        </w:rPr>
        <w:t xml:space="preserve"> </w:t>
      </w:r>
      <w:r>
        <w:rPr>
          <w:rFonts w:ascii="Times New Roman;serif" w:hAnsi="Times New Roman;serif"/>
          <w:b w:val="false"/>
          <w:sz w:val="20"/>
        </w:rPr>
        <w:t>million for the six months ended June 30, 2023, and none</w:t>
      </w:r>
      <w:r>
        <w:rPr>
          <w:rFonts w:ascii="Times New Roman" w:hAnsi="Times New Roman"/>
          <w:sz w:val="20"/>
        </w:rPr>
        <w:t xml:space="preserve"> </w:t>
      </w:r>
      <w:r>
        <w:rPr>
          <w:rFonts w:ascii="Times New Roman;serif" w:hAnsi="Times New Roman;serif"/>
          <w:b w:val="false"/>
          <w:sz w:val="20"/>
        </w:rPr>
        <w:t>for the six months ended June 30, 2022. Amortization expense is included in general and administrative expenses in the condensed consolidated statements of operations and comprehensive loss.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Amortization expense related to intangible assets at June 30, 2023 in each of the next five years and beyond is expected to be incurred as follows (in thousands):</w:t>
      </w:r>
    </w:p>
    <w:p>
      <w:pPr>
        <w:pStyle w:val="TextBody"/>
        <w:bidi w:val="0"/>
        <w:spacing w:before="0" w:after="0"/>
        <w:jc w:val="both"/>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211"/>
        <w:gridCol w:w="571"/>
        <w:gridCol w:w="14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both"/>
        <w:rPr>
          <w:rFonts w:ascii="Times New Roman" w:hAnsi="Times New Roman"/>
          <w:b/>
          <w:sz w:val="20"/>
        </w:rPr>
      </w:pPr>
      <w:r>
        <w:rPr>
          <w:rFonts w:ascii="Times New Roman" w:hAnsi="Times New Roman"/>
          <w:b/>
          <w:sz w:val="20"/>
        </w:rPr>
        <w:t>15.</w:t>
      </w:r>
    </w:p>
    <w:p>
      <w:pPr>
        <w:pStyle w:val="TextBody"/>
        <w:bidi w:val="0"/>
        <w:spacing w:before="160" w:after="283"/>
        <w:jc w:val="both"/>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For the three and six months ended June 30, 2023, the Company recorded a tax benefit and valuation allowance release of $11.1</w:t>
      </w:r>
      <w:r>
        <w:rPr>
          <w:rFonts w:ascii="Times New Roman" w:hAnsi="Times New Roman"/>
          <w:sz w:val="20"/>
        </w:rPr>
        <w:t xml:space="preserve"> </w:t>
      </w:r>
      <w:r>
        <w:rPr>
          <w:rFonts w:ascii="Times New Roman;serif" w:hAnsi="Times New Roman;serif"/>
          <w:b w:val="false"/>
          <w:sz w:val="20"/>
        </w:rPr>
        <w:t>million on the basis of management’s reassessment of the amount of its deferred tax assets that are more likely than not to be realized. Additionally, the Company estimates that it will release $7.1</w:t>
      </w:r>
      <w:r>
        <w:rPr>
          <w:rFonts w:ascii="Times New Roman" w:hAnsi="Times New Roman"/>
          <w:sz w:val="20"/>
        </w:rPr>
        <w:t xml:space="preserve"> </w:t>
      </w:r>
      <w:r>
        <w:rPr>
          <w:rFonts w:ascii="Times New Roman;serif" w:hAnsi="Times New Roman;serif"/>
          <w:b w:val="false"/>
          <w:sz w:val="20"/>
        </w:rPr>
        <w:t>million of valuation allowance through the 2023 annual effective tax rate. As of each reporting date, management considers new evidence, both positive and negative, that could affect its view of the future realization of deferred tax assets. As of June 30, 2023, management determined there is sufficient positive evidence that it is more likely than not that the Company's United States net deferred tax assets other than California state deferred tax assets is realizable.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Tigo Energy, Inc. and Subsidiaries</w:t>
      </w:r>
    </w:p>
    <w:p>
      <w:pPr>
        <w:pStyle w:val="TextBody"/>
        <w:bidi w:val="0"/>
        <w:spacing w:before="0" w:after="0"/>
        <w:jc w:val="left"/>
        <w:rPr>
          <w:rFonts w:ascii="Times New Roman;serif" w:hAnsi="Times New Roman;serif"/>
          <w:b/>
          <w:sz w:val="20"/>
        </w:rPr>
      </w:pPr>
      <w:r>
        <w:rPr>
          <w:rFonts w:ascii="Times New Roman;serif" w:hAnsi="Times New Roman;serif"/>
          <w:b/>
          <w:sz w:val="20"/>
        </w:rPr>
        <w:t>Notes to Condensed Consolidated Financial Statements (Unaudited)</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Income tax benefit was $10.9</w:t>
      </w:r>
      <w:r>
        <w:rPr>
          <w:rFonts w:ascii="Times New Roman" w:hAnsi="Times New Roman"/>
          <w:sz w:val="20"/>
        </w:rPr>
        <w:t xml:space="preserve"> </w:t>
      </w:r>
      <w:r>
        <w:rPr>
          <w:rFonts w:ascii="Times New Roman;serif" w:hAnsi="Times New Roman;serif"/>
          <w:b w:val="false"/>
          <w:sz w:val="20"/>
        </w:rPr>
        <w:t>million for the three months and six months ended June 30, 2023. The Company did not have income tax expense or income tax benefit for the three or six months ended June 30,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effective tax rates for the three months ended June 30, 2023 and 2022 were 32.8% and 0%, respectively. The effective tax rates for the six months ended June 30, 2023 and 2022 were 41.5% and 0%, respectively. The item that had the most significant impact on the difference between the statutory U.S. federal income tax rate of 21% and the effective tax rate for the three and six months ended June 30, 2023, was the discrete tax benefit of releasing valuation allowance against U.S. deferred tax assets. The item that had the most significant impact on the difference between the statutory U.S. federal income tax rate of 21% and the effective tax rate of 0% for the three and six months ended June 30, 2022, was the valuation allowance which offset the tax benefit of book losses.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June 30, 2023, the Company’s U.S. federal and certain state tax returns remain subject to examination, beginning with those filed for the year ended December 31, 2013.</w:t>
      </w:r>
    </w:p>
    <w:p>
      <w:pPr>
        <w:pStyle w:val="TextBody"/>
        <w:bidi w:val="0"/>
        <w:spacing w:before="360" w:after="0"/>
        <w:jc w:val="left"/>
        <w:rPr>
          <w:rFonts w:ascii="Times New Roman" w:hAnsi="Times New Roman"/>
          <w:b/>
          <w:sz w:val="20"/>
        </w:rPr>
      </w:pPr>
      <w:r>
        <w:rPr>
          <w:rFonts w:ascii="Times New Roman" w:hAnsi="Times New Roman"/>
          <w:b/>
          <w:sz w:val="20"/>
        </w:rPr>
        <w:t>16.</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Related Party Transactions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Series C-1 Convertible Preferred Stock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Series C-1 convertible preferred stock (Note 8) was issued to certain existing stockholders.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Note Receivable from Related Parties and Related Party Payable</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2022, there was $0.1</w:t>
      </w:r>
      <w:r>
        <w:rPr>
          <w:rFonts w:ascii="Times New Roman" w:hAnsi="Times New Roman"/>
          <w:sz w:val="20"/>
        </w:rPr>
        <w:t xml:space="preserve"> </w:t>
      </w:r>
      <w:r>
        <w:rPr>
          <w:rFonts w:ascii="Times New Roman;serif" w:hAnsi="Times New Roman;serif"/>
          <w:b w:val="false"/>
          <w:sz w:val="20"/>
        </w:rPr>
        <w:t>million of full recourse promissory notes from the Company’s Chief Executive Officer and former Directors. The full recourse promissory notes were forgiven in December 2022.</w:t>
      </w:r>
    </w:p>
    <w:p>
      <w:pPr>
        <w:pStyle w:val="TextBody"/>
        <w:bidi w:val="0"/>
        <w:spacing w:before="360" w:after="0"/>
        <w:jc w:val="both"/>
        <w:rPr>
          <w:rFonts w:ascii="Times New Roman" w:hAnsi="Times New Roman"/>
          <w:b/>
          <w:sz w:val="20"/>
        </w:rPr>
      </w:pPr>
      <w:r>
        <w:rPr>
          <w:rFonts w:ascii="Times New Roman" w:hAnsi="Times New Roman"/>
          <w:b/>
          <w:sz w:val="20"/>
        </w:rPr>
        <w:t>17.</w:t>
      </w:r>
    </w:p>
    <w:p>
      <w:pPr>
        <w:pStyle w:val="TextBody"/>
        <w:bidi w:val="0"/>
        <w:spacing w:before="360" w:after="283"/>
        <w:jc w:val="both"/>
        <w:rPr>
          <w:rFonts w:ascii="Times New Roman;serif" w:hAnsi="Times New Roman;serif"/>
          <w:b/>
          <w:sz w:val="20"/>
        </w:rPr>
      </w:pPr>
      <w:r>
        <w:rPr>
          <w:rFonts w:ascii="Times New Roman;serif" w:hAnsi="Times New Roman;serif"/>
          <w:b/>
          <w:sz w:val="20"/>
        </w:rPr>
        <w:t>Subsequent Events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pStyle w:val="TextBody"/>
        <w:bidi w:val="0"/>
        <w:spacing w:before="240" w:after="0"/>
        <w:jc w:val="both"/>
        <w:rPr>
          <w:rFonts w:ascii="Times New Roman" w:hAnsi="Times New Roman"/>
          <w:sz w:val="20"/>
        </w:rPr>
      </w:pPr>
      <w:r>
        <w:rPr>
          <w:rFonts w:ascii="Times New Roman;serif" w:hAnsi="Times New Roman;serif"/>
          <w:b w:val="false"/>
          <w:sz w:val="20"/>
        </w:rPr>
        <w:t>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as part of the units sold in the Company’s initial public offering, at a redemption price of $0.01</w:t>
      </w:r>
      <w:r>
        <w:rPr>
          <w:rFonts w:ascii="Times New Roman" w:hAnsi="Times New Roman"/>
          <w:sz w:val="20"/>
        </w:rPr>
        <w:t xml:space="preserve"> </w:t>
      </w:r>
      <w:r>
        <w:rPr>
          <w:rFonts w:ascii="Times New Roman;serif" w:hAnsi="Times New Roman;serif"/>
          <w:b w:val="false"/>
          <w:sz w:val="20"/>
        </w:rPr>
        <w:t>per Warrant for those Warrants that remain outstanding following 5:00 p.m. New York City time on September 8, 2023. Each Warrant entitles the holder thereof to purchase one share of Common Stock at a price of $11.50</w:t>
      </w:r>
      <w:r>
        <w:rPr>
          <w:rFonts w:ascii="Times New Roman" w:hAnsi="Times New Roman"/>
          <w:sz w:val="20"/>
        </w:rPr>
        <w:t xml:space="preserve"> </w:t>
      </w:r>
      <w:r>
        <w:rPr>
          <w:rFonts w:ascii="Times New Roman;serif" w:hAnsi="Times New Roman;serif"/>
          <w:b w:val="false"/>
          <w:sz w:val="20"/>
        </w:rPr>
        <w:t>per Warrant exercised, payable in cash.</w:t>
      </w:r>
    </w:p>
    <w:p>
      <w:pPr>
        <w:pStyle w:val="TextBody"/>
        <w:bidi w:val="0"/>
        <w:spacing w:before="120" w:after="0"/>
        <w:jc w:val="both"/>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8" w:name="item_2_mda"/>
      <w:bookmarkEnd w:id="8"/>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The following discussion should be read in conjunction with the Company’s Consolidated Condensed Financial Statements and the related notes that appear elsewhere in this Quarterly Report on Form 10-Q, and the audited consolidated financial statements of ROCG as of and for the years ended December 31, 2022 and 2021 and the related notes thereto contained on pages F-3 through F-24 of the Proxy Statement/Prospectus filed with the SEC on April 26, 2023</w:t>
      </w:r>
      <w:r>
        <w:rPr>
          <w:rFonts w:ascii="Times New Roman;serif" w:hAnsi="Times New Roman;serif"/>
          <w:b w:val="false"/>
          <w:sz w:val="20"/>
        </w:rPr>
        <w:t xml:space="preserve">, </w:t>
      </w:r>
      <w:r>
        <w:rPr>
          <w:rFonts w:ascii="Times New Roman;serif" w:hAnsi="Times New Roman;serif"/>
          <w:b w:val="false"/>
          <w:i/>
          <w:sz w:val="20"/>
        </w:rPr>
        <w:t>and for Legacy Tigo as of and for the years ended December 31, 2022 and 2021 and the related notes thereto contained on pages F-26 through F-53 of the Proxy Statement/Prospectus filed with the SEC on April 26, 2023.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Quarterly Report on Form 10-Q. Additionally, our historical results are not necessarily indicative of the results that may be expected for any period in the future. Unless otherwise indicated or the context otherwise requires, references in this section to “we,” “our,” “us,” “the Company” or other similar terms refer to the business and operations of Tigo Energy, Inc. and its subsidiaries prior to the Business Combination (“Legacy Tigo”) and Tigo Energy Inc. following the consummation of the Business Combination. References to “ROCG” refer to Roth CH Acquisition IV Co. prior to the consummation of the Business Combination.</w:t>
      </w:r>
    </w:p>
    <w:p>
      <w:pPr>
        <w:pStyle w:val="TextBody"/>
        <w:bidi w:val="0"/>
        <w:spacing w:before="360" w:after="0"/>
        <w:jc w:val="both"/>
        <w:rPr>
          <w:rFonts w:ascii="Times New Roman;serif" w:hAnsi="Times New Roman;serif"/>
          <w:b/>
          <w:sz w:val="20"/>
        </w:rPr>
      </w:pPr>
      <w:r>
        <w:rPr>
          <w:rFonts w:ascii="Times New Roman;serif" w:hAnsi="Times New Roman;serif"/>
          <w:b/>
          <w:sz w:val="20"/>
        </w:rPr>
        <w:t>Overview</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believes it is a worldwide leader in the development and manufacturing of smart hardware and software solutions that enhance safety, increase energy yield, and lower operating costs of residential, commercial, and utility-scale solar systems. The Company's mission is to deliver products and solutions that are flexible and dependable, increase the energy generation of solar systems and lower operating costs. The Company expects to attract new customers and gain market share by expanding sales of the Company's Module Level Power Electronics (“MLPE”) and Energy Intelligence solution (“EI Solution”).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has served the solar energy industry with advanced power and electronics, including the manufacturing and development of the Company's MLPE since inception in 2007 and the Company introduced its EI Solution in 2021. The Company combines Flex MLPE and solar optimizer technology with intelligent, cloud-based software capabilities for advanced energy monitoring and control.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has historically focused on MLPE products, which are devices that attach to solar modules and can provide a number of features including improved safety and energy production. The Company's optimizers are designed to be highly flexible solutions that work with thousands of permutations of inverters and modules, providing the installer with significant choice when designing a system for the consumer. The Company began offering EI solution to residential customers in the U.S. in September 2021 and to select customers in Europe in November 2022. The Company's products power everything from single-digit kilowatt residential systems to commercial, industrial, and utility systems, scaling to hundreds of megawatts on rooftop, ground-mounted, and floating applications.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primarily offers products and services through distributors and solar installers. The Company has a worldwide footprint and has product installations in over 100 countries and on all seven continents.</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Recent Developments</w:t>
      </w:r>
    </w:p>
    <w:p>
      <w:pPr>
        <w:pStyle w:val="TextBody"/>
        <w:bidi w:val="0"/>
        <w:spacing w:before="120" w:after="0"/>
        <w:jc w:val="both"/>
        <w:rPr>
          <w:rFonts w:ascii="Times New Roman;serif" w:hAnsi="Times New Roman;serif"/>
          <w:b/>
          <w:sz w:val="20"/>
        </w:rPr>
      </w:pPr>
      <w:r>
        <w:rPr>
          <w:rFonts w:ascii="Times New Roman;serif" w:hAnsi="Times New Roman;serif"/>
          <w:b/>
          <w:sz w:val="20"/>
        </w:rPr>
        <w:t>Acquisition of Foresight Energy Ltd.</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January 25, 2023 (“Acquisition Closing Date”), Legacy Tigo completed the acquisition of 100% of the equity interests of Foresight Energy Ltd. (“fSight”). Total consideration paid for the acquisition was approximately $13.7 million, which consisted of 5.6 million shares of Legacy Tigo’s common stock issued at the Acquisition Closing Date, 0.2 million shares of Legacy Tigo’s common stock to be issued 12 months from the Acquisition Closing Date and 0.1 million shares of Legacy Tigo’s common stock to be issued 18 months from the Acquisition Closing Date, in addition to $0.5 million in relation to a loan that was issued by the Company to fSight prior to the acquisition closing, and was deemed settled immediately following the Acquisition Closing Date. The transaction was accounted for as a business combination pursuant to Financial Accounting Standards Board (“FASB”) </w:t>
      </w:r>
      <w:r>
        <w:rPr>
          <w:rFonts w:ascii="Times New Roman;serif" w:hAnsi="Times New Roman;serif"/>
          <w:b w:val="false"/>
          <w:i/>
          <w:sz w:val="20"/>
        </w:rPr>
        <w:t>Accounting Standards Codification (“ASC”) Topic 805, Business Combinations</w:t>
      </w:r>
      <w:r>
        <w:rPr>
          <w:rFonts w:ascii="Times New Roman;serif" w:hAnsi="Times New Roman;serif"/>
          <w:b w:val="false"/>
          <w:sz w:val="20"/>
        </w:rPr>
        <w:t>, using the acquisition method of accounting.</w:t>
      </w:r>
    </w:p>
    <w:p>
      <w:pPr>
        <w:pStyle w:val="TextBody"/>
        <w:bidi w:val="0"/>
        <w:spacing w:before="120" w:after="0"/>
        <w:jc w:val="both"/>
        <w:rPr>
          <w:rFonts w:ascii="Times New Roman" w:hAnsi="Times New Roman"/>
          <w:sz w:val="20"/>
        </w:rPr>
      </w:pPr>
      <w:r>
        <w:rPr>
          <w:rFonts w:ascii="Times New Roman;serif" w:hAnsi="Times New Roman;serif"/>
          <w:b w:val="false"/>
          <w:sz w:val="20"/>
        </w:rPr>
        <w:t>fSight is an energy data analytics software company based in Israel. Legacy Tigo’s acquisition of fSight is expected to expand its ability to leverage energy consumption and production data for solar energy producers, adding a powerful prediction platform that provides rich and actionable system performance data, from the grid down to the module level. See Note 4, “Acquisition of Foresight Energy, Ltd.,” of the notes to the condensed consolidated financial statements included in Part I, Item 1 of this Quarterly Report on Form 10-Q for additional information.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Times New Roman;serif" w:hAnsi="Times New Roman;serif"/>
          <w:b/>
          <w:sz w:val="20"/>
        </w:rPr>
        <w:t>The Business Combination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On December 5, 2022, the Company entered into an Agreement and Plan of Merger, by and among Legacy Tigo and Roth IV Merger Sub Inc., a wholly-owned subsidiary of ROCG (“Merger Sub”). On May 23, 2023, upon the terms and subject to the satisfaction or waiver of the conditions described in the Merger Agreement, Merger Sub merged with and into Legacy Tigo.</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terms of the Merger Agreement, immediately prior to the effective time of the Business Combination (the “Effective Time”), Legacy Tigo (i) caused each share of Legacy Tigo preferred stock issued and outstanding to be automatically converted into a number of shares of Legacy Tigo common stock (the “Legacy Tigo common stock”) in accordance with Legacy Tigo’s charter (the “preferred stock conversion”) and (ii) used reasonable best efforts to cause the “cashless” exercise of Legacy Tigo warrants (each, a “Legacy Tigo warrant”), in accordance with their terms, for Legacy Tigo common stock (the “warrant exercise”). As of the closing date of the Business Combination, all holders of Legacy Tigo have exercised such warrants for shares of Legacy Tigo common stock.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the Merger Agreement, at the Effective Time, each share of Legacy Tigo common stock issued and outstanding immediately prior to the Closing (including shares of Legacy Tigo common stock issued in the preferred stock conversion and warrant exercise prior to the closing but excluding shares owned by Legacy Tigo or any direct or indirect wholly owned subsidiary of Legacy Tigo as treasury stock, shares owned by ROCG, and shares of Legacy Tigo common stock issued and outstanding immediately prior to the Effective Time held by a holder who has not voted in favor of adoption of the Merger Agreement or consented thereto in writing and who is entitled to demand and has properly exercised appraisal rights of such shares in accordance with Section 262 of the Delaware General Corporation Law (as it may be amended from time to time, the “DGCL”) and otherwise complied with all of the provisions of the DGCL relevant to the exercise and perfection of dissenters’ rights) were canceled and converted into the right to receive 0.233335 shares of common stock, par value $0.0001 per share, of the Company (the “Common Stock”).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At the Effective Time, each outstanding Legacy Tigo stock option (each, a “Legacy Tigo stock option”), whether vested or unvested, converted into an option to purchase a number of shares of Common Stock equal to the product of (x) the number of shares of Legacy Tigo common stock underlying such Legacy Tigo stock option immediately prior to the Closing and (y) 0.233335, at an exercise price per share equal to (A) the exercise price per share of Legacy Tigo common stock underlying such Legacy Tigo stock option immediately prior to the Closing divided by (B) 0.233335.</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At the Effective Time, after giving effect to the warrant exercise, each outstanding Legacy Tigo warrant to purchase Legacy Tigo common stock, whether or not exercisable, converted into a warrant to purchase a number of shares of Common Stock equal to the product of (x) the number of shares of Legacy Tigo common stock underlying such Legacy Tigo warrant immediately prior to the Closing and (y) 0.233335.</w:t>
      </w:r>
    </w:p>
    <w:p>
      <w:pPr>
        <w:pStyle w:val="TextBody"/>
        <w:bidi w:val="0"/>
        <w:spacing w:before="120" w:after="0"/>
        <w:jc w:val="both"/>
        <w:rPr>
          <w:rFonts w:ascii="Times New Roman" w:hAnsi="Times New Roman"/>
          <w:sz w:val="20"/>
        </w:rPr>
      </w:pPr>
      <w:r>
        <w:rPr>
          <w:rFonts w:ascii="Times New Roman;serif" w:hAnsi="Times New Roman;serif"/>
          <w:b w:val="false"/>
          <w:sz w:val="20"/>
        </w:rPr>
        <w:t>Upon consummation of the Business Combination, the separate corporate existence of Merger Sub ceased, and Legacy Tigo survived the Business Combination and became a wholly-owned subsidiary of ROCG (also herein after referred to as the “Combined Company”). In connection with the consummation of the Business Combination, the Combined Company was renamed “Tigo Energy, Inc.” Immediately after giving effect to the Business Combination, there were 58,144,543 issued and outstanding shares of New Tigo common stock.</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Accounting Impact of the Business Combination</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Business Combination was accounted for as a reverse recapitalization in accordance with accounting principles generally accepted in the United States of America (“GAAP”). Under the guidance in </w:t>
      </w:r>
      <w:r>
        <w:rPr>
          <w:rFonts w:ascii="Times New Roman;serif" w:hAnsi="Times New Roman;serif"/>
          <w:b w:val="false"/>
          <w:i/>
          <w:sz w:val="20"/>
        </w:rPr>
        <w:t>ASC Topic 805, Business Combinations</w:t>
      </w:r>
      <w:r>
        <w:rPr>
          <w:rFonts w:ascii="Times New Roman;serif" w:hAnsi="Times New Roman;serif"/>
          <w:b w:val="false"/>
          <w:sz w:val="20"/>
        </w:rPr>
        <w:t>, ROCG, which is the legal acquirer, was treated as the “acquired” company for financial reporting purposes and Legacy Tigo was treated as the accounting acquirer. This determination was primarily based on the following:</w:t>
      </w:r>
    </w:p>
    <w:p>
      <w:pPr>
        <w:pStyle w:val="TextBody"/>
        <w:bidi w:val="0"/>
        <w:spacing w:before="120" w:after="0"/>
        <w:jc w:val="both"/>
        <w:rPr>
          <w:rFonts w:ascii="Times New Roman" w:hAnsi="Times New Roman"/>
          <w:b w:val="false"/>
          <w:sz w:val="20"/>
        </w:rPr>
      </w:pPr>
      <w:r>
        <w:rPr>
          <w:rFonts w:ascii="Times New Roman" w:hAnsi="Times New Roman"/>
          <w:b w:val="false"/>
          <w:sz w:val="20"/>
        </w:rPr>
        <w:t>(i)</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having a majority of the voting power of the Combined Company;</w:t>
      </w:r>
    </w:p>
    <w:p>
      <w:pPr>
        <w:pStyle w:val="TextBody"/>
        <w:bidi w:val="0"/>
        <w:spacing w:before="120" w:after="0"/>
        <w:jc w:val="both"/>
        <w:rPr>
          <w:rFonts w:ascii="Times New Roman" w:hAnsi="Times New Roman"/>
          <w:b w:val="false"/>
          <w:sz w:val="20"/>
        </w:rPr>
      </w:pPr>
      <w:r>
        <w:rPr>
          <w:rFonts w:ascii="Times New Roman" w:hAnsi="Times New Roman"/>
          <w:b w:val="false"/>
          <w:sz w:val="20"/>
        </w:rPr>
        <w:t>(ii)</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senior management comprising substantially all of the senior management of the Combined Company;</w:t>
      </w:r>
    </w:p>
    <w:p>
      <w:pPr>
        <w:pStyle w:val="TextBody"/>
        <w:bidi w:val="0"/>
        <w:spacing w:before="120" w:after="0"/>
        <w:jc w:val="both"/>
        <w:rPr>
          <w:rFonts w:ascii="Times New Roman" w:hAnsi="Times New Roman"/>
          <w:b w:val="false"/>
          <w:sz w:val="20"/>
        </w:rPr>
      </w:pPr>
      <w:r>
        <w:rPr>
          <w:rFonts w:ascii="Times New Roman" w:hAnsi="Times New Roman"/>
          <w:b w:val="false"/>
          <w:sz w:val="20"/>
        </w:rPr>
        <w:t>(iii)</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relative size compared to ROCG; and</w:t>
      </w:r>
    </w:p>
    <w:p>
      <w:pPr>
        <w:pStyle w:val="TextBody"/>
        <w:bidi w:val="0"/>
        <w:spacing w:before="120" w:after="0"/>
        <w:jc w:val="both"/>
        <w:rPr>
          <w:rFonts w:ascii="Times New Roman" w:hAnsi="Times New Roman"/>
          <w:b w:val="false"/>
          <w:sz w:val="20"/>
        </w:rPr>
      </w:pPr>
      <w:r>
        <w:rPr>
          <w:rFonts w:ascii="Times New Roman" w:hAnsi="Times New Roman"/>
          <w:b w:val="false"/>
          <w:sz w:val="20"/>
        </w:rPr>
        <w:t>(iv)</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the Company's operations comprising the ongoing operation of the post-combination company.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Accordingly, for accounting purposes, the Business Combination was treated as the equivalent of a capital transaction in which the Company is issuing stock for the net assets of ROCG. The net assets of ROCG were stated at historical cost, with no goodwill or other intangible assets recorded. Operations prior to the Business Combination will be the Company's.</w:t>
      </w:r>
    </w:p>
    <w:p>
      <w:pPr>
        <w:pStyle w:val="TextBody"/>
        <w:bidi w:val="0"/>
        <w:spacing w:before="120" w:after="0"/>
        <w:jc w:val="both"/>
        <w:rPr>
          <w:rFonts w:ascii="Times New Roman" w:hAnsi="Times New Roman"/>
          <w:sz w:val="20"/>
        </w:rPr>
      </w:pPr>
      <w:r>
        <w:rPr>
          <w:rFonts w:ascii="Times New Roman;serif" w:hAnsi="Times New Roman;serif"/>
          <w:b w:val="false"/>
          <w:sz w:val="20"/>
        </w:rPr>
        <w:t>The most significant change in the Company's financial position and results upon consummation of the business combination is the conversion of the convertible preferred stock into common stock and additional paid in capital (as compared to the Company's consolidated balance sheet as of December 31, 2022).</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Critical Accounting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Please refer to Note 2 “Summary of Significant Accounting Policies” for details regarding our significant accounting policies and consideration of recently issued accounting pronouncements.</w:t>
      </w:r>
    </w:p>
    <w:p>
      <w:pPr>
        <w:pStyle w:val="TextBody"/>
        <w:bidi w:val="0"/>
        <w:spacing w:before="360" w:after="0"/>
        <w:jc w:val="both"/>
        <w:rPr>
          <w:rFonts w:ascii="Times New Roman" w:hAnsi="Times New Roman"/>
          <w:sz w:val="20"/>
        </w:rPr>
      </w:pPr>
      <w:r>
        <w:rPr>
          <w:rFonts w:ascii="Times New Roman;serif" w:hAnsi="Times New Roman;serif"/>
          <w:b/>
          <w:sz w:val="20"/>
        </w:rPr>
        <w:t>Public Company Costs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Subsequent to the Business Combination, the Combined Company is an SEC-registered and Nasdaq-listed company. The Company has hired and expects to hire additional staff and implement new processes and procedures to address public company requirements in anticipation of and following the completion of the Business Combination. The Company also expects to incur substantial additional expenses for, among other things, directors’ and officers’ liability insurance, director fees, internal control compliance, and additional costs for investor relations, accounting, audit, legal and other functions.</w:t>
      </w:r>
      <w:r>
        <w:rPr>
          <w:rFonts w:ascii="Times New Roman" w:hAnsi="Times New Roman"/>
          <w:sz w:val="20"/>
        </w:rPr>
        <w:t xml:space="preserve"> </w:t>
      </w:r>
    </w:p>
    <w:p>
      <w:pPr>
        <w:pStyle w:val="TextBody"/>
        <w:bidi w:val="0"/>
        <w:spacing w:before="360" w:after="120"/>
        <w:jc w:val="both"/>
        <w:rPr>
          <w:rFonts w:ascii="Times New Roman;serif" w:hAnsi="Times New Roman;serif"/>
          <w:b/>
          <w:sz w:val="20"/>
        </w:rPr>
      </w:pPr>
      <w:r>
        <w:rPr>
          <w:rFonts w:ascii="Times New Roman;serif" w:hAnsi="Times New Roman;serif"/>
          <w:b/>
          <w:sz w:val="20"/>
        </w:rPr>
        <w:t>Key Operating and Financial Metrics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regularly reviews a number of metrics, including the following key operating and financial metrics, to evaluate the Company's business, measure the Company's performance, identify trends in the Company's business, prepare financial projections and make strategic decisions. The Company believes the operating and financial metrics presented are useful in evaluating the Company's operating performance, as they are similar to measures by the Company's public competitors and are regularly used by security analysts, institutional investors, and other interested parties in analyzing operating performance and prospects.</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sets forth these metrics for the periods presented:</w:t>
      </w:r>
      <w:r>
        <w:rPr>
          <w:rFonts w:ascii="Times New Roman" w:hAnsi="Times New Roman"/>
          <w:sz w:val="20"/>
        </w:rPr>
        <w:t xml:space="preserve"> </w:t>
      </w:r>
    </w:p>
    <w:p>
      <w:pPr>
        <w:pStyle w:val="TextBody"/>
        <w:bidi w:val="0"/>
        <w:spacing w:before="0" w:after="0"/>
        <w:jc w:val="left"/>
        <w:rPr/>
      </w:pPr>
      <w:r>
        <w:rPr/>
        <w:t> </w:t>
      </w:r>
    </w:p>
    <w:tbl>
      <w:tblPr>
        <w:tblW w:w="8033" w:type="dxa"/>
        <w:jc w:val="left"/>
        <w:tblInd w:w="0" w:type="dxa"/>
        <w:tblLayout w:type="fixed"/>
        <w:tblCellMar>
          <w:top w:w="28" w:type="dxa"/>
          <w:left w:w="28" w:type="dxa"/>
          <w:bottom w:w="28" w:type="dxa"/>
          <w:right w:w="28" w:type="dxa"/>
        </w:tblCellMar>
      </w:tblPr>
      <w:tblGrid>
        <w:gridCol w:w="2596"/>
        <w:gridCol w:w="146"/>
        <w:gridCol w:w="212"/>
        <w:gridCol w:w="740"/>
        <w:gridCol w:w="272"/>
        <w:gridCol w:w="146"/>
        <w:gridCol w:w="212"/>
        <w:gridCol w:w="680"/>
        <w:gridCol w:w="271"/>
        <w:gridCol w:w="146"/>
        <w:gridCol w:w="211"/>
        <w:gridCol w:w="781"/>
        <w:gridCol w:w="271"/>
        <w:gridCol w:w="146"/>
        <w:gridCol w:w="211"/>
        <w:gridCol w:w="676"/>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68,826</w:t>
            </w:r>
          </w:p>
        </w:tc>
        <w:tc>
          <w:tcPr>
            <w:tcW w:w="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118,884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27,558</w:t>
            </w:r>
          </w:p>
        </w:tc>
        <w:tc>
          <w:tcPr>
            <w:tcW w:w="316"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25,906</w:t>
            </w:r>
          </w:p>
        </w:tc>
        <w:tc>
          <w:tcPr>
            <w:tcW w:w="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w:t>
            </w:r>
          </w:p>
        </w:tc>
        <w:tc>
          <w:tcPr>
            <w:tcW w:w="316"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8,665</w:t>
            </w:r>
          </w:p>
        </w:tc>
        <w:tc>
          <w:tcPr>
            <w:tcW w:w="2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income</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(22,176</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4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Gross Profit and Gross Margin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defines gross profit as total revenue, net less cost of revenue, and define gross margin, expressed as a percentage, as the ratio of gross profit to revenue. Gross profit and margin can be used to understand the Company's financial performance and efficiency and allow investors to evaluate its pricing strategy and compare it against competitors. The Company's management uses these metrics to make strategic decisions identifying areas for improvement, set targets for future performance and make informed decisions about how to allocate resources going forward.</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Key Factors that May Influence Future Results of Operations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financial results of operations may not be comparable from period to period due to several factors. Key factors affecting the Company's results of operations are summarized below.</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Expansion of U.S. Residential Sales</w:t>
      </w:r>
      <w:r>
        <w:rPr>
          <w:rFonts w:ascii="Times New Roman;serif" w:hAnsi="Times New Roman;serif"/>
          <w:b w:val="false"/>
          <w:sz w:val="20"/>
        </w:rPr>
        <w:t>. The Company's future revenue growth is, in part, dependent on its ability to expand product offerings and services in the U.S. residential market. In the Company's North American market, the Company primarily generates revenue from product offerings and services in the commercial and industrial markets. In order to continue growth, the Company intends to expand its presence in the residential market through offerings with U.S. solar providers. The Company also expects to continue to evaluate and invest in new market opportunities internationally. The Company believes that its entry into new markets will continue to facilitate revenue growth and customer diversification.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Expansion of New Products and Services</w:t>
      </w:r>
      <w:r>
        <w:rPr>
          <w:rFonts w:ascii="Times New Roman;serif" w:hAnsi="Times New Roman;serif"/>
          <w:b w:val="false"/>
          <w:sz w:val="20"/>
        </w:rPr>
        <w:t>. The Company has made substantial investments in research and development and sales and marketing to achieve a leading position in its market and grow its revenues. The Company's revenue is primarily generated from the sales and offerings of its MLPE systems. While the Company will continue to invest in research and development to expand the capabilities of the Company's existing products and solutions, the Company intends to continue to develop and promote its EI Solution. For the six months ended June 30, 2023 and 2022, the Company generated approximately $10.6 million and $0.5 million, respectively, in revenue from offerings of its EI Solution.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Adding New Customers and Expansion of Sales with Existing Customers</w:t>
      </w:r>
      <w:r>
        <w:rPr>
          <w:rFonts w:ascii="Times New Roman;serif" w:hAnsi="Times New Roman;serif"/>
          <w:b w:val="false"/>
          <w:sz w:val="20"/>
        </w:rPr>
        <w:t>. The Company intends to target new customers in the U.S. residential market through offerings with residential solar providers. The Company primarily acquires new customers through collaboration with its industry partners and distributors. While the Company expects that a substantial portion of its future revenues in the near-term will be generated from its existing customers, the Company expects to invest in its sales and marketing to broaden reach with new residential customers in the U.S. and customers in Europe.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i/>
          <w:sz w:val="20"/>
        </w:rPr>
        <w:t>Inflation.</w:t>
      </w:r>
      <w:r>
        <w:rPr>
          <w:rFonts w:ascii="Times New Roman" w:hAnsi="Times New Roman"/>
          <w:sz w:val="20"/>
        </w:rPr>
        <w:t xml:space="preserve"> </w:t>
      </w:r>
      <w:r>
        <w:rPr>
          <w:rFonts w:ascii="Times New Roman;serif" w:hAnsi="Times New Roman;serif"/>
          <w:b w:val="false"/>
          <w:sz w:val="20"/>
        </w:rPr>
        <w:t>The Company has experienced an increase in overall operating and other costs as the result of higher inflation rates. Principal factors contributing to the Company's inflationary pressures include supply chain disruptions and challenges. In particular, the Company has experienced supply chain constraints, consequences associated with COVID-19 and trade tariffs imposed on certain products from China, which may put pressure on its operating margins and increase costs. To address the possibility of rising inflation, some of the Company's contracts include certain provisions that mitigate inflation risk. To date, inflation has not had a material impact on the Company's results of operations.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Interest rate increases for both short-term and long-term debt have increased sharply. Although the Company's outstanding debt mostly bears fixed interest rates, as the Company refinances it, or borrows additional amounts, the Company may incur additional interest expense versus expiring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Managing Supply Chain</w:t>
      </w:r>
      <w:r>
        <w:rPr>
          <w:rFonts w:ascii="Times New Roman;serif" w:hAnsi="Times New Roman;serif"/>
          <w:b w:val="false"/>
          <w:sz w:val="20"/>
        </w:rPr>
        <w:t>. The Company relies on contract manufacturers and suppliers to produce its components. The Company has experienced supply chain challenges and increased logistics constraints, including component shortages, which have, in certain cases, caused delays in critical components and inventory, longer lead times, and have resulted in increased costs. The Company believes these supply chain challenges may persist throughout 2023. The Company's ability to grow depends, in part, on the ability of its contract manufacturers and suppliers to provide high quality services and deliver components and finished products on time and at reasonable costs. While the Company has diversified its supply chain, some of its suppliers and contract manufacturers are sole-source suppliers. The Company's concentration of suppliers could lead to supply shortages, long lead times for components and supply changes. A significant portion of the Company's supply chain originates in Thailand and China. In the event the Company is unable to mitigate the impact of delays and/or price increases in raw materials, electronic components and freight, it could delay the manufacturing and delivery of the Company's products, which would adversely impact its cash flows and results of operations, including revenue and gross margin.</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 net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13"/>
        <w:gridCol w:w="146"/>
        <w:gridCol w:w="211"/>
        <w:gridCol w:w="676"/>
        <w:gridCol w:w="146"/>
        <w:gridCol w:w="146"/>
        <w:gridCol w:w="211"/>
        <w:gridCol w:w="676"/>
        <w:gridCol w:w="146"/>
        <w:gridCol w:w="146"/>
        <w:gridCol w:w="211"/>
        <w:gridCol w:w="676"/>
        <w:gridCol w:w="146"/>
        <w:gridCol w:w="146"/>
        <w:gridCol w:w="146"/>
        <w:gridCol w:w="421"/>
        <w:gridCol w:w="271"/>
        <w:gridCol w:w="146"/>
        <w:gridCol w:w="211"/>
        <w:gridCol w:w="781"/>
        <w:gridCol w:w="146"/>
        <w:gridCol w:w="146"/>
        <w:gridCol w:w="211"/>
        <w:gridCol w:w="676"/>
        <w:gridCol w:w="146"/>
        <w:gridCol w:w="146"/>
        <w:gridCol w:w="211"/>
        <w:gridCol w:w="676"/>
        <w:gridCol w:w="146"/>
        <w:gridCol w:w="146"/>
        <w:gridCol w:w="146"/>
        <w:gridCol w:w="421"/>
        <w:gridCol w:w="316"/>
      </w:tblGrid>
      <w:tr>
        <w:trPr/>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0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4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Revenue, net increased for the three and six months ended June 30, 2023, as compared to the same periods in 2022, primarily due to higher sales volumes as a result of increased acceptance of MLPE products in the marketplace and increased marketing activities. The increase for the three and six months ended June 30, 2023, in revenue, net was also driven by increases in revenue, net in all regions, the largest of which was an increase in revenue, net in the EMEA region, which increased by 382%, or approximately $43.7 million, and 466%, or approximately $78.5 million, respectively.</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013"/>
        <w:gridCol w:w="146"/>
        <w:gridCol w:w="211"/>
        <w:gridCol w:w="676"/>
        <w:gridCol w:w="146"/>
        <w:gridCol w:w="146"/>
        <w:gridCol w:w="211"/>
        <w:gridCol w:w="676"/>
        <w:gridCol w:w="146"/>
        <w:gridCol w:w="146"/>
        <w:gridCol w:w="211"/>
        <w:gridCol w:w="676"/>
        <w:gridCol w:w="146"/>
        <w:gridCol w:w="146"/>
        <w:gridCol w:w="146"/>
        <w:gridCol w:w="421"/>
        <w:gridCol w:w="271"/>
        <w:gridCol w:w="146"/>
        <w:gridCol w:w="211"/>
        <w:gridCol w:w="781"/>
        <w:gridCol w:w="146"/>
        <w:gridCol w:w="146"/>
        <w:gridCol w:w="211"/>
        <w:gridCol w:w="676"/>
        <w:gridCol w:w="146"/>
        <w:gridCol w:w="146"/>
        <w:gridCol w:w="211"/>
        <w:gridCol w:w="676"/>
        <w:gridCol w:w="146"/>
        <w:gridCol w:w="146"/>
        <w:gridCol w:w="146"/>
        <w:gridCol w:w="421"/>
        <w:gridCol w:w="316"/>
      </w:tblGrid>
      <w:tr>
        <w:trPr/>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0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APAC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EMEA - Revenue, net for the EMEA region increased for the three and six months ended June 30, 2023, as compared to the same periods in 2022, primarily due to an overall increase in demand for cost-effective energy solutions as energy costs across the region have increased.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Americas - Revenue, net for the Americas region increased for the three and six months ended June 30, 2023, as compared to the same periods in 2022, primarily due to increased orders for the Company's MLPE product line and Energy Intelligence solution.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APAC - Revenue, net for the APAC region increased for the three and six months ended June 30, 2023, as compared to the same periods in 2022, primarily due to increased orders for the Company's MLPE product line.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Cost of Revenues and Gross Profit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08"/>
        <w:gridCol w:w="146"/>
        <w:gridCol w:w="146"/>
        <w:gridCol w:w="676"/>
        <w:gridCol w:w="271"/>
        <w:gridCol w:w="146"/>
        <w:gridCol w:w="146"/>
        <w:gridCol w:w="676"/>
        <w:gridCol w:w="271"/>
        <w:gridCol w:w="146"/>
        <w:gridCol w:w="146"/>
        <w:gridCol w:w="676"/>
        <w:gridCol w:w="146"/>
        <w:gridCol w:w="146"/>
        <w:gridCol w:w="146"/>
        <w:gridCol w:w="421"/>
        <w:gridCol w:w="271"/>
        <w:gridCol w:w="146"/>
        <w:gridCol w:w="146"/>
        <w:gridCol w:w="676"/>
        <w:gridCol w:w="271"/>
        <w:gridCol w:w="146"/>
        <w:gridCol w:w="146"/>
        <w:gridCol w:w="676"/>
        <w:gridCol w:w="271"/>
        <w:gridCol w:w="146"/>
        <w:gridCol w:w="146"/>
        <w:gridCol w:w="676"/>
        <w:gridCol w:w="146"/>
        <w:gridCol w:w="146"/>
        <w:gridCol w:w="146"/>
        <w:gridCol w:w="421"/>
        <w:gridCol w:w="316"/>
      </w:tblGrid>
      <w:tr>
        <w:trPr/>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5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5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0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00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74,609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44,275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bl>
    <w:p>
      <w:pPr>
        <w:pStyle w:val="TextBody"/>
        <w:bidi w:val="0"/>
        <w:spacing w:before="0" w:after="4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Cost of revenue increased for the three and six months ended June 30, 2023, as compared to the same periods in 2022, primarily due to an increase in sales volumes.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Gross margin increased by 7% for both the three and six months ended June 30, 2023, as compared to the same periods in 2022 primarily due to higher margins on our MLPE products as part of cost reduction efforts and lower freight costs.</w:t>
      </w:r>
    </w:p>
    <w:p>
      <w:pPr>
        <w:pStyle w:val="TextBody"/>
        <w:bidi w:val="0"/>
        <w:spacing w:before="360" w:after="0"/>
        <w:jc w:val="both"/>
        <w:rPr>
          <w:rFonts w:ascii="Times New Roman;serif" w:hAnsi="Times New Roman;serif"/>
          <w:b/>
          <w:i/>
          <w:sz w:val="20"/>
        </w:rPr>
      </w:pPr>
      <w:r>
        <w:rPr>
          <w:rFonts w:ascii="Times New Roman;serif" w:hAnsi="Times New Roman;serif"/>
          <w:b/>
          <w:i/>
          <w:sz w:val="20"/>
        </w:rPr>
        <w:t>Research and Development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848"/>
        <w:gridCol w:w="146"/>
        <w:gridCol w:w="146"/>
        <w:gridCol w:w="571"/>
        <w:gridCol w:w="271"/>
        <w:gridCol w:w="146"/>
        <w:gridCol w:w="146"/>
        <w:gridCol w:w="571"/>
        <w:gridCol w:w="271"/>
        <w:gridCol w:w="146"/>
        <w:gridCol w:w="146"/>
        <w:gridCol w:w="571"/>
        <w:gridCol w:w="146"/>
        <w:gridCol w:w="146"/>
        <w:gridCol w:w="146"/>
        <w:gridCol w:w="316"/>
        <w:gridCol w:w="271"/>
        <w:gridCol w:w="146"/>
        <w:gridCol w:w="146"/>
        <w:gridCol w:w="571"/>
        <w:gridCol w:w="271"/>
        <w:gridCol w:w="146"/>
        <w:gridCol w:w="146"/>
        <w:gridCol w:w="571"/>
        <w:gridCol w:w="271"/>
        <w:gridCol w:w="146"/>
        <w:gridCol w:w="146"/>
        <w:gridCol w:w="571"/>
        <w:gridCol w:w="146"/>
        <w:gridCol w:w="146"/>
        <w:gridCol w:w="146"/>
        <w:gridCol w:w="316"/>
        <w:gridCol w:w="316"/>
      </w:tblGrid>
      <w:tr>
        <w:trPr/>
        <w:tc>
          <w:tcPr>
            <w:tcW w:w="1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3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3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7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7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revenue,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4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Research and development expense increased for the three and six months ended June 30, 2023, as compared to the same periods in 2022 primarily due to higher personnel costs as a result of increased headcount. The amount of research and development expenses may fluctuate from period to period due to differing levels and stages of development activity.</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Sales and Marketing</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38"/>
        <w:gridCol w:w="146"/>
        <w:gridCol w:w="146"/>
        <w:gridCol w:w="571"/>
        <w:gridCol w:w="271"/>
        <w:gridCol w:w="146"/>
        <w:gridCol w:w="146"/>
        <w:gridCol w:w="571"/>
        <w:gridCol w:w="271"/>
        <w:gridCol w:w="146"/>
        <w:gridCol w:w="146"/>
        <w:gridCol w:w="571"/>
        <w:gridCol w:w="146"/>
        <w:gridCol w:w="146"/>
        <w:gridCol w:w="146"/>
        <w:gridCol w:w="421"/>
        <w:gridCol w:w="271"/>
        <w:gridCol w:w="146"/>
        <w:gridCol w:w="146"/>
        <w:gridCol w:w="571"/>
        <w:gridCol w:w="271"/>
        <w:gridCol w:w="146"/>
        <w:gridCol w:w="146"/>
        <w:gridCol w:w="571"/>
        <w:gridCol w:w="271"/>
        <w:gridCol w:w="146"/>
        <w:gridCol w:w="146"/>
        <w:gridCol w:w="571"/>
        <w:gridCol w:w="146"/>
        <w:gridCol w:w="146"/>
        <w:gridCol w:w="146"/>
        <w:gridCol w:w="421"/>
        <w:gridCol w:w="316"/>
      </w:tblGrid>
      <w:tr>
        <w:trPr/>
        <w:tc>
          <w:tcPr>
            <w:tcW w:w="1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4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4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6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63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revenue,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bl>
    <w:p>
      <w:pPr>
        <w:pStyle w:val="TextBody"/>
        <w:bidi w:val="0"/>
        <w:spacing w:before="0" w:after="4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Sales and marketing expense increased for the three and six months ended June 30, 2023, as compared to the same periods in 2022. The increase was primarily due to higher personnel costs as a result of increased headcount to facilitate the growth of the Company and an overall increase in marketing activities.</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428"/>
        <w:gridCol w:w="146"/>
        <w:gridCol w:w="146"/>
        <w:gridCol w:w="571"/>
        <w:gridCol w:w="271"/>
        <w:gridCol w:w="146"/>
        <w:gridCol w:w="146"/>
        <w:gridCol w:w="571"/>
        <w:gridCol w:w="271"/>
        <w:gridCol w:w="146"/>
        <w:gridCol w:w="146"/>
        <w:gridCol w:w="571"/>
        <w:gridCol w:w="146"/>
        <w:gridCol w:w="146"/>
        <w:gridCol w:w="146"/>
        <w:gridCol w:w="421"/>
        <w:gridCol w:w="271"/>
        <w:gridCol w:w="146"/>
        <w:gridCol w:w="146"/>
        <w:gridCol w:w="676"/>
        <w:gridCol w:w="271"/>
        <w:gridCol w:w="146"/>
        <w:gridCol w:w="146"/>
        <w:gridCol w:w="571"/>
        <w:gridCol w:w="271"/>
        <w:gridCol w:w="146"/>
        <w:gridCol w:w="146"/>
        <w:gridCol w:w="676"/>
        <w:gridCol w:w="146"/>
        <w:gridCol w:w="146"/>
        <w:gridCol w:w="146"/>
        <w:gridCol w:w="421"/>
        <w:gridCol w:w="316"/>
      </w:tblGrid>
      <w:tr>
        <w:trPr/>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4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4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42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revenue,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bl>
    <w:p>
      <w:pPr>
        <w:pStyle w:val="TextBody"/>
        <w:bidi w:val="0"/>
        <w:spacing w:before="0" w:after="4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General and administrative expense increased for the three and six months ended June 30, 2023, as compared to the same periods in 2022. The increase for the three months ended June 30, 2023, compared to the same period in 2022 was primarily related an increase personnel and facility costs as a result of increased headcount to facilitate the growth of the Company, in addition to incremental merger and acquisition related expenses in connection with the Business Combination.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Other Expenses, Net</w:t>
      </w:r>
    </w:p>
    <w:p>
      <w:pPr>
        <w:pStyle w:val="TextBody"/>
        <w:bidi w:val="0"/>
        <w:spacing w:before="0" w:after="0"/>
        <w:jc w:val="left"/>
        <w:rPr/>
      </w:pPr>
      <w:r>
        <w:rPr/>
        <w:t> </w:t>
      </w:r>
    </w:p>
    <w:tbl>
      <w:tblPr>
        <w:tblW w:w="10713" w:type="dxa"/>
        <w:jc w:val="left"/>
        <w:tblInd w:w="0" w:type="dxa"/>
        <w:tblLayout w:type="fixed"/>
        <w:tblCellMar>
          <w:top w:w="28" w:type="dxa"/>
          <w:left w:w="28" w:type="dxa"/>
          <w:bottom w:w="28" w:type="dxa"/>
          <w:right w:w="28" w:type="dxa"/>
        </w:tblCellMar>
      </w:tblPr>
      <w:tblGrid>
        <w:gridCol w:w="1396"/>
        <w:gridCol w:w="146"/>
        <w:gridCol w:w="211"/>
        <w:gridCol w:w="676"/>
        <w:gridCol w:w="166"/>
        <w:gridCol w:w="146"/>
        <w:gridCol w:w="211"/>
        <w:gridCol w:w="421"/>
        <w:gridCol w:w="146"/>
        <w:gridCol w:w="146"/>
        <w:gridCol w:w="211"/>
        <w:gridCol w:w="676"/>
        <w:gridCol w:w="166"/>
        <w:gridCol w:w="146"/>
        <w:gridCol w:w="146"/>
        <w:gridCol w:w="676"/>
        <w:gridCol w:w="271"/>
        <w:gridCol w:w="146"/>
        <w:gridCol w:w="211"/>
        <w:gridCol w:w="676"/>
        <w:gridCol w:w="166"/>
        <w:gridCol w:w="146"/>
        <w:gridCol w:w="211"/>
        <w:gridCol w:w="571"/>
        <w:gridCol w:w="146"/>
        <w:gridCol w:w="146"/>
        <w:gridCol w:w="211"/>
        <w:gridCol w:w="676"/>
        <w:gridCol w:w="166"/>
        <w:gridCol w:w="146"/>
        <w:gridCol w:w="146"/>
        <w:gridCol w:w="67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4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9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316" w:type="dxa"/>
            <w:tcBorders/>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preferred stock warrant and contingent shares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debt extinguishment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4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Three and six months ended June 30, 2023 and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Change in fair value of preferred stock warrant and contingent shares liability increased for the three and six months ended June 30, 2023, as compared to the same periods in 2022 primarily due to an increase in the fair value of the Series C convertible preferred stock and contingent shares related to the fSight acquisition. The Series C convertible preferred stock was converted to shares of Common Stock on May 23, 2023, as part of the Business Combination. See Note 3, “Merger with Roth CH Acquisition IV Co.,” of the notes to condensed consolidated financial statements included in Part I, Item 1 of this Quarterly Report on Form 10-Q for additional 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Change in fair value of derivative liability was an incremental increase for the three and six month ended June 30, 2023. The Convertible Promissory Note (as defined above) contains a conversion option that meets the requirements for separate accounting and is accounted for as a derivative liability. The derivative instrument was recorded at fair value upon recognition on the Merger Date (as defined above) and was subject to remeasurement as of June 30, 2023. See Note 2, “Summary of Significant Accounting Policies,” of the notes to condensed consolidated financial statements included in Part I, Item 1 of this Quarterly Report on Form 10-Q for additional information.</w:t>
      </w:r>
    </w:p>
    <w:p>
      <w:pPr>
        <w:pStyle w:val="TextBody"/>
        <w:bidi w:val="0"/>
        <w:spacing w:before="120" w:after="0"/>
        <w:jc w:val="both"/>
        <w:rPr>
          <w:rFonts w:ascii="Times New Roman" w:hAnsi="Times New Roman"/>
          <w:sz w:val="20"/>
        </w:rPr>
      </w:pPr>
      <w:r>
        <w:rPr>
          <w:rFonts w:ascii="Times New Roman;serif" w:hAnsi="Times New Roman;serif"/>
          <w:b w:val="false"/>
          <w:sz w:val="20"/>
        </w:rPr>
        <w:t>The loss on debt extinguishment for the six months ended June 30, 2023, is primarily related to the repayment of the Company's Series 2022-1 Notes. The loss on debt extinguishment during the six months ended June 30, 2022, was related to the repayment of the Company's Senior Bonds.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Interest expense for the three and six months ended June 30, 2023, primarily consists of interest expense incurred on the Company's Convertible Promissory Note. Interest expense for the three and six months ended June 30, 2022, primarily consists of interest expense primarily related to the Company's Series 2022-1 Notes (as defined above).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Other income, net increased for the three and six months ended June 30, 2023, compared to the same periods in 2022 primarily due to an increase in interest income related to marketable securities.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Non-GAAP Financial Measures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non-GAAP financial measures below have not been calculated in accordance with GAAP and should be considered in addition to results prepared in accordance with GAAP and should not be considered as a substitute for, or superior to, GAAP results. In addition, Adjusted EBITDA and Adjusted EBITDA Margin on Revenue should not be construed as indicators of the Company's operating performance, liquidity or cash flows generated by operating, investing and financing activities, as there may be significant factors or trends that they fail to address. The Company cautions investors that non-GAAP financial information, by its nature, departs from traditional accounting conventions. Therefore, its use can make it difficult to compare the Company's current results with its results from other reporting periods and with the results of other companies.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management uses these non-GAAP financial measures, in conjunction with GAAP financial measures, as an integral part of managing its business and to, among other things: (i) monitor and evaluate the performance of its business operations and financial performance; (ii) facilitate internal comparisons of the historical operating performance of its business operations; (iii) facilitate external comparisons of the results of its overall business to the historical operating performance of other companies that may have different capital structures and debt levels; (iv) review and assess the operating performance of its management team; (v) analyze and evaluate financial and strategic planning decisions regarding future operating investments; and (vi) plan for and prepare future annual operating budgets and determine appropriate levels of operating investments.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Adjusted EBITDA</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defines adjusted EBITDA, a non-GAAP financial measure, as net income(loss) before interest and other expenses, net, income tax benefit, depreciation and amortization, as adjusted to exclude stock-based compensation and merger and acquisition expenses (“M&amp;A expenses”). The Company utilizes adjusted EBITDA as an internal performance measure in the management of its operations because the Company believes the exclusion of these non-cash and non-recurring charges allow for a more relevant comparison of its results of operations to other companies in its industry. Adjusted EBITDA should not be viewed as a substitute for net income calculated in accordance with GAAP, and other companies may define Adjusted EBITDA differently.</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provides a reconciliation of adjusted EBITDA to net (loss) income for the periods presented:</w:t>
      </w:r>
    </w:p>
    <w:p>
      <w:pPr>
        <w:pStyle w:val="TextBody"/>
        <w:bidi w:val="0"/>
        <w:spacing w:before="0" w:after="0"/>
        <w:jc w:val="left"/>
        <w:rPr/>
      </w:pPr>
      <w:r>
        <w:rPr/>
        <w:t> </w:t>
      </w:r>
    </w:p>
    <w:tbl>
      <w:tblPr>
        <w:tblW w:w="7687" w:type="dxa"/>
        <w:jc w:val="left"/>
        <w:tblInd w:w="0" w:type="dxa"/>
        <w:tblLayout w:type="fixed"/>
        <w:tblCellMar>
          <w:top w:w="28" w:type="dxa"/>
          <w:left w:w="28" w:type="dxa"/>
          <w:bottom w:w="28" w:type="dxa"/>
          <w:right w:w="28" w:type="dxa"/>
        </w:tblCellMar>
      </w:tblPr>
      <w:tblGrid>
        <w:gridCol w:w="2596"/>
        <w:gridCol w:w="146"/>
        <w:gridCol w:w="252"/>
        <w:gridCol w:w="881"/>
        <w:gridCol w:w="198"/>
        <w:gridCol w:w="174"/>
        <w:gridCol w:w="252"/>
        <w:gridCol w:w="504"/>
        <w:gridCol w:w="146"/>
        <w:gridCol w:w="146"/>
        <w:gridCol w:w="211"/>
        <w:gridCol w:w="736"/>
        <w:gridCol w:w="166"/>
        <w:gridCol w:w="146"/>
        <w:gridCol w:w="211"/>
        <w:gridCol w:w="631"/>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vAlign w:val="center"/>
          </w:tcPr>
          <w:p>
            <w:pPr>
              <w:pStyle w:val="TableContents"/>
              <w:bidi w:val="0"/>
              <w:spacing w:before="0" w:after="0"/>
              <w:ind w:left="0" w:right="0" w:hanging="0"/>
              <w:jc w:val="center"/>
              <w:rPr/>
            </w:pPr>
            <w:r>
              <w:rPr/>
              <w:t> </w:t>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center"/>
              <w:rPr/>
            </w:pPr>
            <w:r>
              <w:rPr/>
              <w:t> </w:t>
            </w:r>
          </w:p>
        </w:tc>
        <w:tc>
          <w:tcPr>
            <w:tcW w:w="7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Adjusted EBITDA:</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7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income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(22,176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7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other expenses, net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41,774</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w:t>
            </w:r>
          </w:p>
        </w:tc>
        <w:tc>
          <w:tcPr>
            <w:tcW w:w="29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29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9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M&amp;A expenses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13,569</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both"/>
        <w:rPr>
          <w:rFonts w:ascii="Times New Roman;serif" w:hAnsi="Times New Roman;serif"/>
          <w:b/>
          <w:sz w:val="20"/>
        </w:rPr>
      </w:pPr>
      <w:r>
        <w:rPr>
          <w:rFonts w:ascii="Times New Roman;serif" w:hAnsi="Times New Roman;serif"/>
          <w:b/>
          <w:sz w:val="20"/>
        </w:rPr>
        <w:t>Liquidity, Capital Resources, and Going Concern</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the Company's principal sources of liquidity were cash and cash equivalents, marketable securities, debt financing, and income from operations.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Historically, the Company has financed its operations primarily through financing transactions such as the issuance of convertible promissory notes and loans, and sales of convertible preferred stock. The Company became profitable in the first quarter of 2023 and has continued this trend into the second quarter of 2023. As of June 30, 2023, the Company had an accumulated deficit of $90.1 million. Management closely monitors expenditures and is focused on obtaining new customers and continuing to develop the Company's products. Cash from operations and the Company's liquidity could also be affected by various risks and uncertainties, including, but not limited to, economic concerns related to inflation or the supply chain, the effects of the COVID-19 pandemic, including timing of cash collections from customers and other risks which are detailed in the section entitled “Risk Factors” beginning on page 33 of the Proxy Statement/Prospectus filed with the SEC on April 26, 2023.</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follows the provisions of </w:t>
      </w:r>
      <w:r>
        <w:rPr>
          <w:rFonts w:ascii="Times New Roman;serif" w:hAnsi="Times New Roman;serif"/>
          <w:b w:val="false"/>
          <w:i/>
          <w:sz w:val="20"/>
        </w:rPr>
        <w:t>FASB ASC Topic 205-40, Presentation of Financial Statements—Going Concern</w:t>
      </w:r>
      <w:r>
        <w:rPr>
          <w:rFonts w:ascii="Times New Roman;serif" w:hAnsi="Times New Roman;serif"/>
          <w:b w:val="false"/>
          <w:sz w:val="20"/>
        </w:rPr>
        <w:t>, which requires management to assess Tigo’s ability to continue as a going concern within one year after the date the condensed consolidated financial statements are issued.</w:t>
      </w:r>
    </w:p>
    <w:p>
      <w:pPr>
        <w:pStyle w:val="TextBody"/>
        <w:bidi w:val="0"/>
        <w:spacing w:before="120" w:after="0"/>
        <w:jc w:val="both"/>
        <w:rPr>
          <w:rFonts w:ascii="Times New Roman" w:hAnsi="Times New Roman"/>
          <w:sz w:val="20"/>
        </w:rPr>
      </w:pPr>
      <w:r>
        <w:rPr>
          <w:rFonts w:ascii="Times New Roman;serif" w:hAnsi="Times New Roman;serif"/>
          <w:b w:val="false"/>
          <w:sz w:val="20"/>
        </w:rPr>
        <w:t>Management believes that with the existing cash, cash equivalents, and marketable securities as of June 30, 2023, and an increasing customer base, as well as proper management of expenditures, Tigo has sufficient resources to sustain operations through August 2024. However, there can be no assurance that the Company will not require additional financing or that the Company can maintain or increase its current revenues.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In addition, the Company expects to incur additional costs as a result of operating as a public company. In the event that additional financing is required from outside sources, the Company cannot be sure that any additional financing will be available to it on acceptable terms, if at all. If the Company is unable to raise additional capital when desired, the Company's business, operating results, and financial condition could be adversely affected.</w:t>
      </w:r>
    </w:p>
    <w:p>
      <w:pPr>
        <w:pStyle w:val="TextBody"/>
        <w:bidi w:val="0"/>
        <w:spacing w:before="360" w:after="0"/>
        <w:jc w:val="both"/>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summarizes the Company's cash flows for the periods presented:</w:t>
      </w:r>
      <w:r>
        <w:rPr>
          <w:rFonts w:ascii="Times New Roman" w:hAnsi="Times New Roman"/>
          <w:sz w:val="20"/>
        </w:rPr>
        <w:t xml:space="preserve"> </w:t>
      </w:r>
    </w:p>
    <w:p>
      <w:pPr>
        <w:pStyle w:val="TextBody"/>
        <w:bidi w:val="0"/>
        <w:spacing w:before="0" w:after="0"/>
        <w:jc w:val="left"/>
        <w:rPr/>
      </w:pPr>
      <w:r>
        <w:rPr/>
        <w:t> </w:t>
      </w:r>
    </w:p>
    <w:tbl>
      <w:tblPr>
        <w:tblW w:w="7214" w:type="dxa"/>
        <w:jc w:val="left"/>
        <w:tblInd w:w="0" w:type="dxa"/>
        <w:tblLayout w:type="fixed"/>
        <w:tblCellMar>
          <w:top w:w="28" w:type="dxa"/>
          <w:left w:w="28" w:type="dxa"/>
          <w:bottom w:w="28" w:type="dxa"/>
          <w:right w:w="28" w:type="dxa"/>
        </w:tblCellMar>
      </w:tblPr>
      <w:tblGrid>
        <w:gridCol w:w="4711"/>
        <w:gridCol w:w="146"/>
        <w:gridCol w:w="211"/>
        <w:gridCol w:w="736"/>
        <w:gridCol w:w="166"/>
        <w:gridCol w:w="146"/>
        <w:gridCol w:w="211"/>
        <w:gridCol w:w="67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vAlign w:val="center"/>
          </w:tcPr>
          <w:p>
            <w:pPr>
              <w:pStyle w:val="TableContents"/>
              <w:bidi w:val="0"/>
              <w:spacing w:before="0" w:after="0"/>
              <w:ind w:left="0" w:right="0" w:hanging="0"/>
              <w:jc w:val="center"/>
              <w:rPr/>
            </w:pPr>
            <w:r>
              <w:rPr/>
              <w:t> </w:t>
            </w:r>
          </w:p>
        </w:tc>
      </w:tr>
      <w:tr>
        <w:trPr/>
        <w:tc>
          <w:tcPr>
            <w:tcW w:w="4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4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Cash Flows Used in Operating Activities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Operating cash flows consists primarily of net loss adjusted for certain non-cash items and changes in assets and liabilities. Cash used in operating activities decreased by $1.5 million in the six months ended June 30, 2023 as compared to the same period in 2022, mainly due to higher operating income.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Cash Flows Used in Investing Activities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Net cash used in investing activities increased by $51.8 million for the six months ended June 30, 2023, compared to the six months ended June 30, 2022, primarily due to the purchase of marketable securities and property and equipment.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Cash Flows Provided by Financing Activities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provided by financing activities decreased by $2.3 million in the six months ended June 30, 2023, compared to the six months ended June 30, 2022. For the six months ended June 30, 2023, the Company received proceeds of $50.0 million from the Convertible Promissory Note (as defined above) and proceeds of $2.2 million from the Merger (as defined above), which was partially offset by the $20.8 million repayment of the Series 2022-1 Notes (as defined above).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 the six months ended June 30, 2022, the Company received proceeds of $25.0 million from the Series 2022-1 Notes (as defined above) and $21.8 million from the sale of Series E convertible preferred stock. This was partially offset by the $10.0 million repayment of the Company's Senior Bonds (as defined above) and $3.5 million of payments due to financing costs.</w:t>
      </w:r>
    </w:p>
    <w:p>
      <w:pPr>
        <w:pStyle w:val="TextBody"/>
        <w:bidi w:val="0"/>
        <w:spacing w:before="360" w:after="120"/>
        <w:jc w:val="both"/>
        <w:rPr>
          <w:rFonts w:ascii="Times New Roman;serif" w:hAnsi="Times New Roman;serif"/>
          <w:b/>
          <w:sz w:val="20"/>
        </w:rPr>
      </w:pPr>
      <w:r>
        <w:rPr>
          <w:rFonts w:ascii="Times New Roman;serif" w:hAnsi="Times New Roman;serif"/>
          <w:b/>
          <w:sz w:val="20"/>
        </w:rPr>
        <w:t>Contractual Obligations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contractual obligations primarily consist of its Convertible Promissory Notes, obligations under operating leases and inventory component purchase. As of June 30, 2023, there have been no material changes from its disclosure in the Proxy Statement/Prospectus filed with the SEC on April 26, 2023. For more information on the Company's future minimum operating leases, see Note 13, “Leases” and for more information on the Company's notes and other related debt, see Note 9, “Long-Term Debt,” of the notes to condensed consolidated financial statements included in Part I, Item 1 of this Quarterly Report on Form 10-Q.</w:t>
      </w:r>
    </w:p>
    <w:p>
      <w:pPr>
        <w:pStyle w:val="TextBody"/>
        <w:bidi w:val="0"/>
        <w:spacing w:before="360" w:after="0"/>
        <w:jc w:val="both"/>
        <w:rPr>
          <w:rFonts w:ascii="Times New Roman;serif" w:hAnsi="Times New Roman;serif"/>
          <w:b/>
          <w:sz w:val="20"/>
        </w:rPr>
      </w:pPr>
      <w:bookmarkStart w:id="9" w:name="item_3_quantitative_and_qualitative"/>
      <w:bookmarkEnd w:id="9"/>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 w:hAnsi="Times New Roman"/>
          <w:sz w:val="20"/>
        </w:rPr>
      </w:pPr>
      <w:r>
        <w:rPr>
          <w:rFonts w:ascii="Times New Roman;serif" w:hAnsi="Times New Roman;serif"/>
          <w:b w:val="false"/>
          <w:sz w:val="20"/>
        </w:rPr>
        <w:t>As a “smaller reporting company” as defined by Rule 12b-2 of the Securities Exchange Act of 1934, as amended (the “Exchange Act”), the Company is not required to provide the information required under this item.</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bookmarkStart w:id="10" w:name="item_4_controls_and_procedures"/>
      <w:bookmarkEnd w:id="10"/>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supervision and with the participation of our management, including our Chief Executive Officer and Chief Financial Officer, we conducted an evaluation of the effectiveness of the design and operation of our disclosure controls and procedures as of June 30, 2023, as defined in Rules 13a-15(e) and 15d-15(e) under the Securities Exchange Act of 1934, as amended (the "Exchange Act").</w:t>
      </w:r>
    </w:p>
    <w:p>
      <w:pPr>
        <w:pStyle w:val="TextBody"/>
        <w:bidi w:val="0"/>
        <w:spacing w:before="120" w:after="0"/>
        <w:jc w:val="both"/>
        <w:rPr>
          <w:rFonts w:ascii="Times New Roman" w:hAnsi="Times New Roman"/>
          <w:sz w:val="20"/>
        </w:rPr>
      </w:pPr>
      <w:r>
        <w:rPr>
          <w:rFonts w:ascii="Times New Roman;serif" w:hAnsi="Times New Roman;serif"/>
          <w:b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not effective as of June 30, 2023, based on the material weaknesses identified below.</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Material Weakness in Internal Control over Financial Reporting</w:t>
      </w:r>
    </w:p>
    <w:p>
      <w:pPr>
        <w:pStyle w:val="TextBody"/>
        <w:bidi w:val="0"/>
        <w:spacing w:before="120" w:after="0"/>
        <w:jc w:val="both"/>
        <w:rPr>
          <w:rFonts w:ascii="Times New Roman" w:hAnsi="Times New Roman"/>
          <w:sz w:val="20"/>
        </w:rPr>
      </w:pPr>
      <w:r>
        <w:rPr>
          <w:rFonts w:ascii="Times New Roman;serif" w:hAnsi="Times New Roman;serif"/>
          <w:b w:val="false"/>
          <w:sz w:val="20"/>
        </w:rPr>
        <w:t>As discussed elsewhere in this Quarterly Report on Form 10-Q, the Company completed the Merger on May 23, 2023. Prior to the Merger, Roth CH Acquisition IV Co. disclosed in Item 4. of its Form 10-Q filed on April 12, 2023, a material weakness in internal controls over financial reporting related to the accounting for complex financial instruments. Management has concluded this material weakness has not been remediated as an internal control deficiency was identified relating to the accounting for the conversion feature embedded in the Company’s Convertible Promissory Notes. Notwithstanding this material weakness, management has concluded that our unaudited financial statements included in this Quarterly Report on Form 10-Q are fairly stated in all material respects in accordance with GAAP for each of the periods presented therein.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This material weakness could result in a misstatement of account balances or disclosures that would result in a material misstatement of our annual or interim consolidated financial statements that may not be detected.</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Plan for Remediation of the Material Weakness in Internal Control over Financial Reporting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response, the Company’s management has continued implementation of a plan to remediate this material weakness. These remediation measures are ongoing and include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Engaging external advisors with appropriate technical accounting knowledge and experience in the application of US GAAP to assist with the evaluation and documentation of accounting for complex financial instruments;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Formalizing risk assessment procedures and the design and implementation of controls related to the accounting for complex financial instruments;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Assessing the need to hire additional accounting and finance personnel with requisite US GAAP knowledge and experience to supplement existing accounting and finance capabilities and capacity;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Providing enhanced access to accounting literature and research materials to our accounting and finance personnel to review and evaluate conclusions regarding accounting for complex financial instruments.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material weaknesses will be considered remediated once management completes the design and implementation of the measures described above and the controls operate for a sufficient period of time, and management has concluded, through testing, that these controls are effective. We believe we are making progress toward achieving the effectiveness of our internal controls and disclosure controls; however, we cannot provide any assurance that these remediation efforts will be successful or that our internal control over financial reporting will be effective as a result of these efforts.</w:t>
      </w:r>
    </w:p>
    <w:p>
      <w:pPr>
        <w:pStyle w:val="TextBody"/>
        <w:bidi w:val="0"/>
        <w:spacing w:before="120" w:after="0"/>
        <w:jc w:val="both"/>
        <w:rPr>
          <w:rFonts w:ascii="Times New Roman" w:hAnsi="Times New Roman"/>
          <w:sz w:val="20"/>
        </w:rPr>
      </w:pPr>
      <w:r>
        <w:rPr>
          <w:rFonts w:ascii="Times New Roman;serif" w:hAnsi="Times New Roman;serif"/>
          <w:b w:val="false"/>
          <w:sz w:val="20"/>
        </w:rPr>
        <w:t>In addition, the Company's management has concluded that material weaknesses noted in Item 4. Controls and Procedures in the Form 10-Q filed by Roth CH Acquisition IV Co. on April 12, 2023, in relation to the review of the accrued expenses and the review over the cash flow statement have been remediated as of June 30, 2023.</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both"/>
        <w:rPr>
          <w:rFonts w:ascii="Times New Roman" w:hAnsi="Times New Roman"/>
          <w:sz w:val="20"/>
        </w:rPr>
      </w:pPr>
      <w:r>
        <w:rPr>
          <w:rFonts w:ascii="Times New Roman;serif" w:hAnsi="Times New Roman;serif"/>
          <w:b w:val="false"/>
          <w:sz w:val="20"/>
        </w:rPr>
        <w:t>Other than the changes made to the material weakness described above, and the material weaknesses remediated described above, there were no changes in our internal control over financial reporting identified in connection with the evaluation required by Rules 13a-15(d) and 15d-15(d) of the Exchange Act that occurred during the three months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Limitations on the Effectiveness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0"/>
        <w:jc w:val="center"/>
        <w:rPr>
          <w:rFonts w:ascii="Times New Roman;serif" w:hAnsi="Times New Roman;serif"/>
          <w:b/>
          <w:sz w:val="20"/>
        </w:rPr>
      </w:pPr>
      <w:r>
        <w:rPr>
          <w:rFonts w:ascii="Times New Roman;serif" w:hAnsi="Times New Roman;serif"/>
          <w:b/>
          <w:sz w:val="20"/>
        </w:rPr>
        <w:t>PART II—OTHER INFORMATION</w:t>
      </w:r>
    </w:p>
    <w:p>
      <w:pPr>
        <w:pStyle w:val="TextBody"/>
        <w:bidi w:val="0"/>
        <w:spacing w:before="240" w:after="0"/>
        <w:jc w:val="left"/>
        <w:rPr>
          <w:rFonts w:ascii="Times New Roman;serif" w:hAnsi="Times New Roman;serif"/>
          <w:b/>
          <w:sz w:val="20"/>
        </w:rPr>
      </w:pPr>
      <w:bookmarkStart w:id="11" w:name="item_1_legal_proceedings"/>
      <w:bookmarkEnd w:id="11"/>
      <w:r>
        <w:rPr>
          <w:rFonts w:ascii="Times New Roman;serif" w:hAnsi="Times New Roman;serif"/>
          <w:b/>
          <w:sz w:val="20"/>
        </w:rPr>
        <w:t>Item 1. Legal Proceedings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TextBody"/>
        <w:bidi w:val="0"/>
        <w:spacing w:before="360" w:after="0"/>
        <w:jc w:val="left"/>
        <w:rPr>
          <w:rFonts w:ascii="Times New Roman;serif" w:hAnsi="Times New Roman;serif"/>
          <w:b/>
          <w:sz w:val="20"/>
        </w:rPr>
      </w:pPr>
      <w:bookmarkStart w:id="12" w:name="item_1a_risk_factors"/>
      <w:bookmarkEnd w:id="12"/>
      <w:r>
        <w:rPr>
          <w:rFonts w:ascii="Times New Roman;serif" w:hAnsi="Times New Roman;serif"/>
          <w:b/>
          <w:sz w:val="20"/>
        </w:rPr>
        <w:t>Item 1A. Risk Factors</w:t>
      </w:r>
    </w:p>
    <w:p>
      <w:pPr>
        <w:pStyle w:val="TextBody"/>
        <w:bidi w:val="0"/>
        <w:spacing w:before="120" w:after="0"/>
        <w:jc w:val="both"/>
        <w:rPr>
          <w:rFonts w:ascii="Times New Roman" w:hAnsi="Times New Roman"/>
          <w:sz w:val="20"/>
        </w:rPr>
      </w:pPr>
      <w:r>
        <w:rPr>
          <w:rFonts w:ascii="Times New Roman;serif" w:hAnsi="Times New Roman;serif"/>
          <w:b w:val="false"/>
          <w:sz w:val="20"/>
        </w:rPr>
        <w:t>In addition to the other information set forth in this Quarterly Report on Form 10-Q, you should carefully consider the risk factors disclosed in the sections entitled “Summary- Summary Risk Factors” and “Risk Factors” beginning on pages 23 and 33 of our Proxy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Statement/Prospectus filed with the SEC on April 26, 2023,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360" w:after="0"/>
        <w:jc w:val="both"/>
        <w:rPr>
          <w:rFonts w:ascii="Times New Roman;serif" w:hAnsi="Times New Roman;serif"/>
          <w:b/>
          <w:sz w:val="20"/>
        </w:rPr>
      </w:pPr>
      <w:bookmarkStart w:id="13" w:name="item_2_unregistered_sales_of_equity"/>
      <w:bookmarkEnd w:id="13"/>
      <w:r>
        <w:rPr>
          <w:rFonts w:ascii="Times New Roman;serif" w:hAnsi="Times New Roman;serif"/>
          <w:b/>
          <w:sz w:val="20"/>
        </w:rPr>
        <w:t>Item 2. Unregistered Sales of Equity Securities and Use of Proceeds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both"/>
        <w:rPr>
          <w:rFonts w:ascii="Times New Roman;serif" w:hAnsi="Times New Roman;serif"/>
          <w:b/>
          <w:sz w:val="20"/>
        </w:rPr>
      </w:pPr>
      <w:bookmarkStart w:id="14" w:name="tem_3_defaults_upon_senior_securities"/>
      <w:bookmarkEnd w:id="14"/>
      <w:r>
        <w:rPr>
          <w:rFonts w:ascii="Times New Roman;serif" w:hAnsi="Times New Roman;serif"/>
          <w:b/>
          <w:sz w:val="20"/>
        </w:rPr>
        <w:t>Item 3. Defaults Upon Senior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both"/>
        <w:rPr>
          <w:rFonts w:ascii="Times New Roman;serif" w:hAnsi="Times New Roman;serif"/>
          <w:b/>
          <w:sz w:val="20"/>
        </w:rPr>
      </w:pPr>
      <w:bookmarkStart w:id="15" w:name="item_4_mine_safety_disclosures"/>
      <w:bookmarkEnd w:id="15"/>
      <w:r>
        <w:rPr>
          <w:rFonts w:ascii="Times New Roman;serif" w:hAnsi="Times New Roman;serif"/>
          <w:b/>
          <w:sz w:val="20"/>
        </w:rPr>
        <w:t>Item 4. Mine Safety Disclosures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both"/>
        <w:rPr>
          <w:rFonts w:ascii="Times New Roman;serif" w:hAnsi="Times New Roman;serif"/>
          <w:b/>
          <w:sz w:val="20"/>
        </w:rPr>
      </w:pPr>
      <w:bookmarkStart w:id="16" w:name="item_5_other_information"/>
      <w:bookmarkEnd w:id="16"/>
      <w:r>
        <w:rPr>
          <w:rFonts w:ascii="Times New Roman;serif" w:hAnsi="Times New Roman;serif"/>
          <w:b/>
          <w:sz w:val="20"/>
        </w:rPr>
        <w:t>Item 5. Other 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7" w:name="item_6_exhibits"/>
      <w:bookmarkEnd w:id="17"/>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81"/>
        <w:gridCol w:w="146"/>
        <w:gridCol w:w="8778"/>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8" w:type="dxa"/>
            <w:tcBorders/>
            <w:vAlign w:val="center"/>
          </w:tcPr>
          <w:p>
            <w:pPr>
              <w:pStyle w:val="TableContents"/>
              <w:bidi w:val="0"/>
              <w:spacing w:before="0" w:after="283"/>
              <w:jc w:val="left"/>
              <w:rPr>
                <w:sz w:val="4"/>
                <w:szCs w:val="4"/>
              </w:rPr>
            </w:pPr>
            <w:r>
              <w:rPr>
                <w:sz w:val="4"/>
                <w:szCs w:val="4"/>
              </w:rPr>
            </w:r>
          </w:p>
        </w:tc>
      </w:tr>
      <w:tr>
        <w:trPr/>
        <w:tc>
          <w:tcPr>
            <w:tcW w:w="1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Description</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Amendment No. 1 to Merger Agreement by and among Roth CH Acquisition IV Co., Tigo Energy, Inc. and Roth IV Merger Sub Inc., dated as of April 6, 2023 (incorporated by reference to Exhibit 2.2 to the Company’s Registration Statement on S-4/A (File No. 333-264811), filed with the SEC on April 20,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Second Amended and Restated Certificate of Incorporation of Tigo Energy, Inc. (incorporated by reference</w:t>
              </w:r>
            </w:hyperlink>
          </w:p>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to Exhibit 3.1 to the Company’s Current Report on Form 8-K, filed with the SEC on May 30,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Bylaws of Tigo Energy, Inc. (incorporated by reference to Exhibit 3.2 to the</w:t>
              </w:r>
            </w:hyperlink>
          </w:p>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Company’s Current Report on Form 8-K, filed with the SEC on May 30,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Warrant Agreement, dated August 5, 2021, by and between the Registrant and Continental Stock Transfer &amp; Trust Company (incorporated by reference to Exhibit 4.4 to the Company’s Registration Statement on S-4/A (File No. 333-264811), filed with the SEC on April 20,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Amended and Restated Registration Rights Agreement, dated as of May 23, 2023, by and among Tigo Energy, Inc., CHLM Sponsor LLC, CR Financial Holdings, Inc., and each party listed under Holder on the signature pages thereto (incorporated by reference to Exhibit 10.2 the Company’s Current Report on Form 8-K, filed with the SEC on May 30,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Fiscal 2023 Executive Short Term Incentive Plan (incorporated by reference to the Company’s Current Report on Form 8-K, filed with the SEC on June 12,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20"/>
                  <w:u w:val="single"/>
                </w:rPr>
                <w:t>Form of Restricted Stock Unit Award Grant Notice (incorporated by reference to the Company’s Registration Statement on Form S-8, filed with the SEC on August 10,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20"/>
                  <w:u w:val="single"/>
                </w:rPr>
                <w:t>Form of Stock Option Grant Notice (incorporated by reference to the Company’s Registration Statement on Form S-8, filed with the SEC on August 10,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2">
              <w:r>
                <w:rPr>
                  <w:rStyle w:val="InternetLink"/>
                  <w:rFonts w:ascii="Times New Roman;serif" w:hAnsi="Times New Roman;serif"/>
                  <w:b w:val="false"/>
                  <w:sz w:val="20"/>
                  <w:u w:val="single"/>
                </w:rPr>
                <w:t>Form of Non-Employee Director Restricted Stock Unit Award Agreement (incorporated by reference to the Company’s Registration Statement on Form S-8, filed with the SEC on August 10,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3">
              <w:r>
                <w:rPr>
                  <w:rStyle w:val="InternetLink"/>
                  <w:rFonts w:ascii="Times New Roman;serif" w:hAnsi="Times New Roman;serif"/>
                  <w:b w:val="false"/>
                  <w:sz w:val="20"/>
                  <w:u w:val="single"/>
                </w:rPr>
                <w:t>Form of Stock Appreciation Right Award Agreement for China Grantees (incorporated by reference to the Company’s Registration Statement on Form S-8, filed with the SEC on August 10,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20"/>
                  <w:u w:val="single"/>
                </w:rPr>
                <w:t>Form of Stock Option Grant Notice for Israeli Participants (incorporated by reference to the Company’s Registration Statement on Form S-8, filed with the SEC on August 10, 2023).</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go-ex10_8.htm">
              <w:r>
                <w:rPr>
                  <w:rStyle w:val="InternetLink"/>
                  <w:rFonts w:ascii="Times New Roman;serif" w:hAnsi="Times New Roman;serif"/>
                  <w:b w:val="false"/>
                  <w:sz w:val="20"/>
                  <w:u w:val="single"/>
                </w:rPr>
                <w:t>Tigo Energy, Inc. Independent Director Compensation Policy.</w:t>
              </w:r>
            </w:hyperlink>
            <w:hyperlink w:anchor="tygo-ex10_8.htm">
              <w:r>
                <w:rPr>
                  <w:rStyle w:val="InternetLink"/>
                  <w:rFonts w:ascii="Times New Roman" w:hAnsi="Times New Roman"/>
                  <w:sz w:val="20"/>
                </w:rPr>
                <w:t xml:space="preserve"> </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go-ex31_1.htm">
              <w:r>
                <w:rPr>
                  <w:rStyle w:val="InternetLink"/>
                  <w:rFonts w:ascii="Times New Roman;serif" w:hAnsi="Times New Roman;serif"/>
                  <w:b w:val="false"/>
                  <w:sz w:val="20"/>
                  <w:u w:val="single"/>
                </w:rPr>
                <w:t>Certification of Chief Executive Officer pursuant to Rule 13a-14(a)/15d-14(a)</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go-ex31_2.htm">
              <w:r>
                <w:rPr>
                  <w:rStyle w:val="InternetLink"/>
                  <w:rFonts w:ascii="Times New Roman;serif" w:hAnsi="Times New Roman;serif"/>
                  <w:b w:val="false"/>
                  <w:sz w:val="20"/>
                  <w:u w:val="single"/>
                </w:rPr>
                <w:t>Certification of Chief Financial Officer pursuant to Rule 13a-14(a)/15d-14(a)</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go-ex32_1.htm">
              <w:r>
                <w:rPr>
                  <w:rStyle w:val="InternetLink"/>
                  <w:rFonts w:ascii="Times New Roman;serif" w:hAnsi="Times New Roman;serif"/>
                  <w:b w:val="false"/>
                  <w:sz w:val="20"/>
                  <w:u w:val="single"/>
                </w:rPr>
                <w:t>Certification of Chief Executive Officer pursuant to Rule 13a-14(b)/15d-14(b)</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ygo-ex32_2.htm">
              <w:r>
                <w:rPr>
                  <w:rStyle w:val="InternetLink"/>
                  <w:rFonts w:ascii="Times New Roman;serif" w:hAnsi="Times New Roman;serif"/>
                  <w:b w:val="false"/>
                  <w:sz w:val="20"/>
                  <w:u w:val="single"/>
                </w:rPr>
                <w:t>Certification of Chief Financial Officer pursuant to Rule 13a-14(b)/15d-14(b)</w:t>
              </w:r>
            </w:hyperlink>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XBRL Instance Document - the instance document does not appear in the Interactive Data File because its XBRL tags are embedded within the Inline XBRL document.</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XBRL Taxonomy Extension Schema Document</w:t>
            </w:r>
            <w:r>
              <w:rPr>
                <w:rFonts w:ascii="Times New Roman" w:hAnsi="Times New Roman"/>
                <w:sz w:val="20"/>
              </w:rPr>
              <w:t xml:space="preserve"> </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XBRL Taxonomy Extension Calculation Linkbase Document</w:t>
            </w:r>
            <w:r>
              <w:rPr>
                <w:rFonts w:ascii="Times New Roman" w:hAnsi="Times New Roman"/>
                <w:sz w:val="20"/>
              </w:rPr>
              <w:t xml:space="preserve"> </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XBRL Taxonomy Extension Definition Linkbase Document</w:t>
            </w:r>
            <w:r>
              <w:rPr>
                <w:rFonts w:ascii="Times New Roman" w:hAnsi="Times New Roman"/>
                <w:sz w:val="20"/>
              </w:rPr>
              <w:t xml:space="preserve"> </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XBRL Taxonomy Extension Label Linkbase Document</w:t>
            </w:r>
            <w:r>
              <w:rPr>
                <w:rFonts w:ascii="Times New Roman" w:hAnsi="Times New Roman"/>
                <w:sz w:val="20"/>
              </w:rPr>
              <w:t xml:space="preserve"> </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XBRL Taxonomy Extension Presentation Linkbase Document</w:t>
            </w:r>
            <w:r>
              <w:rPr>
                <w:rFonts w:ascii="Times New Roman" w:hAnsi="Times New Roman"/>
                <w:sz w:val="20"/>
              </w:rPr>
              <w:t xml:space="preserve"> </w:t>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(formatted as Inline XBRL and contained in Exhibit 101)</w:t>
            </w:r>
            <w:r>
              <w:rPr>
                <w:rFonts w:ascii="Times New Roman" w:hAnsi="Times New Roman"/>
                <w:sz w:val="20"/>
              </w:rPr>
              <w:t xml:space="preserve"> </w:t>
            </w:r>
          </w:p>
        </w:tc>
      </w:tr>
      <w:tr>
        <w:trPr/>
        <w:tc>
          <w:tcPr>
            <w:tcW w:w="1281"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Filed herewith.</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Furnished herewith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77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Tigo Energy, Inc.</w:t>
            </w:r>
            <w:r>
              <w:rPr>
                <w:rFonts w:ascii="Times New Roman" w:hAnsi="Times New Roman"/>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Bill Roeschlein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Bill Roeschlein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9" w:name="tygo-ex10_8.htm"/>
      <w:bookmarkStart w:id="20" w:name="kstygoex10_8"/>
      <w:bookmarkEnd w:id="19"/>
      <w:bookmarkEnd w:id="20"/>
      <w:r>
        <w:rPr>
          <w:rFonts w:ascii="Times New Roman;serif" w:hAnsi="Times New Roman;serif"/>
          <w:b/>
          <w:sz w:val="20"/>
        </w:rPr>
        <w:t>EX-10.8</w:t>
      </w:r>
      <w:r>
        <w:br w:type="page"/>
      </w:r>
    </w:p>
    <w:p>
      <w:pPr>
        <w:pStyle w:val="TextBody"/>
        <w:bidi w:val="0"/>
        <w:spacing w:before="0" w:after="0"/>
        <w:jc w:val="center"/>
        <w:rPr>
          <w:rFonts w:ascii="Times New Roman;serif" w:hAnsi="Times New Roman;serif"/>
          <w:b/>
          <w:sz w:val="22"/>
        </w:rPr>
      </w:pPr>
      <w:r>
        <w:rPr>
          <w:rFonts w:ascii="Times New Roman;serif" w:hAnsi="Times New Roman;serif"/>
          <w:b/>
          <w:sz w:val="22"/>
        </w:rPr>
        <w:t>TIGO ENERGY, INC.</w:t>
      </w:r>
    </w:p>
    <w:p>
      <w:pPr>
        <w:pStyle w:val="TextBody"/>
        <w:bidi w:val="0"/>
        <w:spacing w:before="0" w:after="0"/>
        <w:jc w:val="center"/>
        <w:rPr>
          <w:rFonts w:ascii="Times New Roman;serif" w:hAnsi="Times New Roman;serif"/>
          <w:b/>
          <w:sz w:val="22"/>
        </w:rPr>
      </w:pPr>
      <w:r>
        <w:rPr>
          <w:rFonts w:ascii="Times New Roman;serif" w:hAnsi="Times New Roman;serif"/>
          <w:b/>
          <w:sz w:val="22"/>
        </w:rPr>
        <w:t xml:space="preserve">INDEPENDENT DIRECTOR COMPENSATION POLICY </w:t>
        <w:br/>
        <w:t>AND STOCK OWNERSHIP GUIDELINES</w:t>
      </w:r>
    </w:p>
    <w:p>
      <w:pPr>
        <w:pStyle w:val="TextBody"/>
        <w:bidi w:val="0"/>
        <w:spacing w:before="0" w:after="0"/>
        <w:jc w:val="center"/>
        <w:rPr>
          <w:rFonts w:ascii="Times New Roman;serif" w:hAnsi="Times New Roman;serif"/>
          <w:b/>
          <w:sz w:val="22"/>
        </w:rPr>
      </w:pPr>
      <w:r>
        <w:rPr>
          <w:rFonts w:ascii="Times New Roman;serif" w:hAnsi="Times New Roman;serif"/>
          <w:b/>
          <w:sz w:val="22"/>
        </w:rPr>
        <w:t>APPROVED JUNE 10, 2023</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Tigo Energy, Inc. (the “Company”) believes that the granting of cash and equity compensation to members of the Company’s Board of Directors (the “Board,” and members of the Board, “Directors”) represents an effective tool to attract, retain and reward Directors who are not employees of the Company (“Independent Directors”). This Independent Director Compensation Policy (the “Policy”) is intended to formalize the Company’s policy regarding cash compensation and grants of equity awards to its Independent Directors. Unless otherwise defined herein, capitalized terms used in this Policy will have the meaning given such term in the Tigo Energy, Inc. 2023 Equity Incentive Plan, as amended from time to time, or if such plan no longer is in use at the time of the grant of an equity award, the meaning given such term or similar term in the equity plan then in place under which the equity award is granted (the “Plan”). Each Independent Director will be solely responsible for any tax obligations incurred by such Independent Director as a result of the compensation such Independent Director receives under this Policy.</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1. </w:t>
      </w:r>
      <w:r>
        <w:rPr>
          <w:rFonts w:ascii="Times New Roman;serif" w:hAnsi="Times New Roman;serif"/>
          <w:b w:val="false"/>
          <w:i/>
          <w:sz w:val="22"/>
        </w:rPr>
        <w:t>Effective Date.</w:t>
      </w:r>
      <w:r>
        <w:rPr>
          <w:rFonts w:ascii="Times New Roman;serif" w:hAnsi="Times New Roman;serif"/>
          <w:b w:val="false"/>
          <w:sz w:val="22"/>
        </w:rPr>
        <w:t>This Policy will be deemed effective on May 23, 2023, the date of the consummation of the transactions contemplated by that certain Business Combination Agreement entered into by and among the Company, Roth Capital CH Acquisition IV, and certain other parties, dated December 5, 2022, as subsequently amended (such transactions, the “Merger,” such date of consummation of the Merger, the “Closing Date,” and the effective date of this Policy, the “Effective Date”).</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2. </w:t>
      </w:r>
      <w:r>
        <w:rPr>
          <w:rFonts w:ascii="Times New Roman;serif" w:hAnsi="Times New Roman;serif"/>
          <w:b w:val="false"/>
          <w:i/>
          <w:sz w:val="22"/>
        </w:rPr>
        <w:t>Cash Compensation.</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2.1 </w:t>
      </w:r>
      <w:r>
        <w:rPr>
          <w:rFonts w:ascii="Times New Roman;serif" w:hAnsi="Times New Roman;serif"/>
          <w:b w:val="false"/>
          <w:i/>
          <w:sz w:val="22"/>
        </w:rPr>
        <w:t xml:space="preserve">Board Member Annual Cash Retainer. </w:t>
      </w:r>
      <w:r>
        <w:rPr>
          <w:rFonts w:ascii="Times New Roman;serif" w:hAnsi="Times New Roman;serif"/>
          <w:b w:val="false"/>
          <w:sz w:val="22"/>
        </w:rPr>
        <w:t>Following the Effective Date, each Independent Director will be paid an annual cash retainer of $60,000, paid in two semi-annual installments of $30,000 each (the “annual cash retainer”). There are no per-meeting attendance fees for attending Board meetings or meetings of any committee of the Board. Each Independent Director may elect to have the Company pay all or a portion of his or her cash retainer(s) in shares in lieu of cash. The number of shares issued shall be determined by dividing the dollar amount of the applicable retainer(s) by the fair market value of a share (based on the closing trading price of our Common Stock on the trading day immediately preceding the Annual Meeting date), rounded down to the nearest whole share. In no case shall any fractional shares be issued. In lieu of any fractional shares, Independent Directors shall be entitled to cash equal to the value of any fractional shares. Shares issued in lieu of cash shall be fully vested and unrestricted shares issued pursuant to the Company’s incentive compensation plan and shall be issued on the Annual Meeting date or, if the shares cannot be delivered due to a Company blackout period, then the shares will be delivered on the first business day following the end of the blackout period. Any election by an Independent Director to receive his or her retainer(s) in shares must be made no later than the expiration of the election period established by the Compensation Committee and can only be made during a period in which the Company is not in a quarterly or special blackout period pursuant to the Company’s insider trading policy and at a time in which the director does not have material, non-public information. In the event that the Board determines there are not sufficient shares available under the Company’s equity incentive plans to pay the retainer in shares, the retainer shall be paid in cash.</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2.2 </w:t>
      </w:r>
      <w:r>
        <w:rPr>
          <w:rFonts w:ascii="Times New Roman;serif" w:hAnsi="Times New Roman;serif"/>
          <w:b w:val="false"/>
          <w:i/>
          <w:sz w:val="22"/>
        </w:rPr>
        <w:t>Additional Annual Cash Retainers.</w:t>
      </w:r>
      <w:r>
        <w:rPr>
          <w:rFonts w:ascii="Times New Roman" w:hAnsi="Times New Roman"/>
          <w:sz w:val="20"/>
        </w:rPr>
        <w:t xml:space="preserve"> </w:t>
      </w:r>
      <w:r>
        <w:rPr>
          <w:rFonts w:ascii="Times New Roman;serif" w:hAnsi="Times New Roman;serif"/>
          <w:b w:val="false"/>
          <w:sz w:val="22"/>
        </w:rPr>
        <w:t>Following the Effective Date, each Independent Director who serves as the Non-Employee Chair of the Board, Lead Director, or the chair of a committee of the Board, will be paid additional annual fees in cash payments as follows (the “additional cash retainers”):</w:t>
      </w:r>
    </w:p>
    <w:tbl>
      <w:tblPr>
        <w:tblW w:w="4172" w:type="dxa"/>
        <w:jc w:val="left"/>
        <w:tblInd w:w="0" w:type="dxa"/>
        <w:tblLayout w:type="fixed"/>
        <w:tblCellMar>
          <w:top w:w="28" w:type="dxa"/>
          <w:left w:w="28" w:type="dxa"/>
          <w:bottom w:w="28" w:type="dxa"/>
          <w:right w:w="28" w:type="dxa"/>
        </w:tblCellMar>
      </w:tblPr>
      <w:tblGrid>
        <w:gridCol w:w="3241"/>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Non-Employee Chair</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$20,000</w:t>
            </w:r>
          </w:p>
        </w:tc>
      </w:tr>
      <w:tr>
        <w:trPr/>
        <w:tc>
          <w:tcPr>
            <w:tcW w:w="324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Lead Independent Director</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$20,000</w:t>
            </w:r>
          </w:p>
        </w:tc>
      </w:tr>
      <w:tr>
        <w:trPr/>
        <w:tc>
          <w:tcPr>
            <w:tcW w:w="324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Audit Committee Chair</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$20,000</w:t>
            </w:r>
          </w:p>
        </w:tc>
      </w:tr>
      <w:tr>
        <w:trPr/>
        <w:tc>
          <w:tcPr>
            <w:tcW w:w="324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Compensation Committee Chair</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$15,000</w:t>
            </w:r>
          </w:p>
        </w:tc>
      </w:tr>
      <w:tr>
        <w:trPr/>
        <w:tc>
          <w:tcPr>
            <w:tcW w:w="324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Nominating &amp; Governance Chair</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2"/>
              </w:rPr>
            </w:pPr>
            <w:r>
              <w:rPr>
                <w:rFonts w:ascii="Times New Roman;serif" w:hAnsi="Times New Roman;serif"/>
                <w:b w:val="false"/>
                <w:sz w:val="22"/>
              </w:rPr>
              <w:t>$10,000</w:t>
            </w:r>
          </w:p>
        </w:tc>
      </w:tr>
    </w:tbl>
    <w:p>
      <w:pPr>
        <w:pStyle w:val="TextBody"/>
        <w:bidi w:val="0"/>
        <w:spacing w:before="0" w:after="0"/>
        <w:jc w:val="both"/>
        <w:rPr>
          <w:rFonts w:ascii="Times New Roman" w:hAnsi="Times New Roman"/>
          <w:sz w:val="20"/>
        </w:rPr>
      </w:pPr>
      <w:r>
        <w:rPr>
          <w:rFonts w:ascii="Times New Roman;serif" w:hAnsi="Times New Roman;serif"/>
          <w:b w:val="false"/>
          <w:sz w:val="22"/>
        </w:rPr>
        <w:t xml:space="preserve">2.3 </w:t>
      </w:r>
      <w:r>
        <w:rPr>
          <w:rFonts w:ascii="Times New Roman;serif" w:hAnsi="Times New Roman;serif"/>
          <w:b w:val="false"/>
          <w:i/>
          <w:sz w:val="22"/>
        </w:rPr>
        <w:t>Payment Timing and Proration.</w:t>
      </w:r>
      <w:r>
        <w:rPr>
          <w:rFonts w:ascii="Times New Roman" w:hAnsi="Times New Roman"/>
          <w:sz w:val="20"/>
        </w:rPr>
        <w:t xml:space="preserve"> </w:t>
      </w:r>
      <w:r>
        <w:rPr>
          <w:rFonts w:ascii="Times New Roman;serif" w:hAnsi="Times New Roman;serif"/>
          <w:b w:val="false"/>
          <w:sz w:val="22"/>
        </w:rPr>
        <w:t>Each semi-annual payment of the annual cash retainer or additional cash retainers under this Policy will be paid in arrears on a prorated basis to each Independent Director who has served in the relevant capacity at any time during the immediately preceding two fiscal quarters of the Company (“Biannual Period”), and such payment will be made no later than 30 days following the end of such immediately preceding Biannual Period. For clarity, an Independent Director who has served during only a portion of the relevant Biannual Period will receive a prorated</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payment of the semi-annual payment of the applicable retainer(s), calculated based on the number of days during such Biannual Period such Independent Director has served in the relevant capacities. An Independent Director who has served from the Effective Date through the end of the Biannual Period containing the Effective Date (the “Initial Period”) will receive a prorated payment of the biannual installment of the applicable retainer(s), calculated based on the number of days during the Initial Period that such Independent Director has served in the relevant capacities.</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 </w:t>
      </w:r>
      <w:r>
        <w:rPr>
          <w:rFonts w:ascii="Times New Roman;serif" w:hAnsi="Times New Roman;serif"/>
          <w:b w:val="false"/>
          <w:i/>
          <w:sz w:val="22"/>
        </w:rPr>
        <w:t>Equity Compensation.</w:t>
      </w:r>
      <w:r>
        <w:rPr>
          <w:rFonts w:ascii="Times New Roman" w:hAnsi="Times New Roman"/>
          <w:sz w:val="20"/>
        </w:rPr>
        <w:t xml:space="preserve"> </w:t>
      </w:r>
      <w:r>
        <w:rPr>
          <w:rFonts w:ascii="Times New Roman;serif" w:hAnsi="Times New Roman;serif"/>
          <w:b w:val="false"/>
          <w:sz w:val="22"/>
        </w:rPr>
        <w:t>All grants of awards to Independent Directors pursuant to Sections 3.2 and 3.3 of this Policy will be automatic and nondiscretionary, except as otherwise provided herein, and will be made in accordance with the following provisions:</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3.1 </w:t>
      </w:r>
      <w:r>
        <w:rPr>
          <w:rFonts w:ascii="Times New Roman;serif" w:hAnsi="Times New Roman;serif"/>
          <w:b w:val="false"/>
          <w:i/>
          <w:sz w:val="22"/>
        </w:rPr>
        <w:t>No Discretion.</w:t>
      </w:r>
      <w:r>
        <w:rPr>
          <w:rFonts w:ascii="Times New Roman;serif" w:hAnsi="Times New Roman;serif"/>
          <w:b w:val="false"/>
          <w:sz w:val="22"/>
        </w:rPr>
        <w:t>No person will have any discretion to select which Independent Directors will be granted Awards under this Policy or to determine the number of Shares to be covered by such Awards (except as provided in Sections 3.3.2 and 7 below).</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3.2 </w:t>
      </w:r>
      <w:r>
        <w:rPr>
          <w:rFonts w:ascii="Times New Roman;serif" w:hAnsi="Times New Roman;serif"/>
          <w:b w:val="false"/>
          <w:i/>
          <w:sz w:val="22"/>
        </w:rPr>
        <w:t>Initial Award.</w:t>
      </w:r>
      <w:r>
        <w:rPr>
          <w:rFonts w:ascii="Times New Roman" w:hAnsi="Times New Roman"/>
          <w:sz w:val="20"/>
        </w:rPr>
        <w:t xml:space="preserve"> </w:t>
      </w:r>
      <w:r>
        <w:rPr>
          <w:rFonts w:ascii="Times New Roman;serif" w:hAnsi="Times New Roman;serif"/>
          <w:b w:val="false"/>
          <w:sz w:val="22"/>
        </w:rPr>
        <w:t>On the first Trading Day immediately following (1) the effectiveness of the Company’s registration statement on Form S-8 following the Effective Date, and (2) thereafter, with respect to any Independent Director who is a new Independent Director, at each Annual Meeting of the Company’s stockholders (an “Annual Meeting”) (in the case of a new Independent Director that is elected at an Annual Meeting) or on the second Tuesday that is the first Trading Day immediately following the appointment to the board (in the case of a new Independent Director that is not elected at an Annual Meeting), such Independent Director will be automatically will be granted an award of Restricted Stock Units (an “Initial Award”) that will have a Value of $187,500 (with the number of Shares subject to the Initial Award rounded to the nearest whole Share). The Initial Award will vest as to 100% of the Restricted Stock Units on the first anniversary of the date the Initial Award is granted, subject to the Independent Director remaining a Service Provider through such vesting date.</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3.3 </w:t>
      </w:r>
      <w:r>
        <w:rPr>
          <w:rFonts w:ascii="Times New Roman;serif" w:hAnsi="Times New Roman;serif"/>
          <w:b w:val="false"/>
          <w:i/>
          <w:sz w:val="22"/>
        </w:rPr>
        <w:t>Annual Award.</w:t>
      </w:r>
      <w:r>
        <w:rPr>
          <w:rFonts w:ascii="Times New Roman;serif" w:hAnsi="Times New Roman;serif"/>
          <w:b w:val="false"/>
          <w:sz w:val="22"/>
        </w:rPr>
        <w:t>On the first Trading Day immediately following each Annual Meeting of the Company’s stockholders (an “Annual Meeting”) that occurs after the Effective Date, each Independent Director automatically will be granted an Award of Restricted Stock Units (an “Annual Award” and, together with the Initial Award, and “Award”)) that will have a Value of $125,000 (with the number of Shares subject to the Annual Award rounded to the nearest whole Share). The Annual Award will vest as to 100% of the Restricted Stock Units immediately prior to the Annual Meeting following the grant of such Annual Award, subject to the Independent Director remaining a Service Provider through such vesting date.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3.4 </w:t>
      </w:r>
      <w:r>
        <w:rPr>
          <w:rFonts w:ascii="Times New Roman;serif" w:hAnsi="Times New Roman;serif"/>
          <w:b w:val="false"/>
          <w:i/>
          <w:sz w:val="22"/>
        </w:rPr>
        <w:t>Additional Terms of Awards.</w:t>
      </w:r>
      <w:r>
        <w:rPr>
          <w:rFonts w:ascii="Times New Roman" w:hAnsi="Times New Roman"/>
          <w:sz w:val="20"/>
        </w:rPr>
        <w:t xml:space="preserve"> </w:t>
      </w:r>
      <w:r>
        <w:rPr>
          <w:rFonts w:ascii="Times New Roman;serif" w:hAnsi="Times New Roman;serif"/>
          <w:b w:val="false"/>
          <w:sz w:val="22"/>
        </w:rPr>
        <w:t>The terms and conditions of Awards will be as follows.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3.4.1 Each Award will be granted under and subject to the terms and conditions of the Plan and the applicable form of award agreement approved by the Board or its Committee (as defined below), as applicable, for use thereunder.</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3.4.2 The Board or its Committee, as applicable and in its discretion, may change and otherwise revise the terms of Awards to be granted in the future pursuant to this Policy, including without limitation the number of Shares subject thereto and type of Award.</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5. </w:t>
      </w:r>
      <w:r>
        <w:rPr>
          <w:rFonts w:ascii="Times New Roman;serif" w:hAnsi="Times New Roman;serif"/>
          <w:b w:val="false"/>
          <w:i/>
          <w:sz w:val="22"/>
        </w:rPr>
        <w:t>Annual Compensation Limit.</w:t>
      </w:r>
      <w:r>
        <w:rPr>
          <w:rFonts w:ascii="Times New Roman" w:hAnsi="Times New Roman"/>
          <w:sz w:val="20"/>
        </w:rPr>
        <w:t xml:space="preserve"> </w:t>
      </w:r>
      <w:r>
        <w:rPr>
          <w:rFonts w:ascii="Times New Roman;serif" w:hAnsi="Times New Roman;serif"/>
          <w:b w:val="false"/>
          <w:sz w:val="22"/>
        </w:rPr>
        <w:t>No Independent Director may be granted, in any Fiscal Year, equity awards (including any Awards granted under the Plan) with values (based on their grant date fair value determined in accordance with U.S. Generally Accepted Accounting Principles), and be provided any other compensation (including without limitation any cash retainers or fees) in amounts that, in any Fiscal Year, in the aggregate, exceed $750,000. Any Awards or other compensation provided to an individual (a) for his or her services as an Employee, or for his or her services as a Consultant other than as an Independent Director, or (b) prior to the Closing Date, will be excluded for purposes of this Section 4.</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6. </w:t>
      </w:r>
      <w:r>
        <w:rPr>
          <w:rFonts w:ascii="Times New Roman;serif" w:hAnsi="Times New Roman;serif"/>
          <w:b w:val="false"/>
          <w:i/>
          <w:sz w:val="22"/>
        </w:rPr>
        <w:t>Travel Expenses.</w:t>
      </w:r>
      <w:r>
        <w:rPr>
          <w:rFonts w:ascii="Times New Roman;serif" w:hAnsi="Times New Roman;serif"/>
          <w:b w:val="false"/>
          <w:sz w:val="22"/>
        </w:rPr>
        <w:t>Each Independent Director’s reasonable, customary and properly documented travel expenses to meetings of the Board and any of its committees, as applicable, will be reimbursed by the Company. Directors using personal aircraft or private air carrier will be reimbursed fort such expenses at a rate equivalent to a first-class airfare of scheduled carriers.</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7. </w:t>
      </w:r>
      <w:r>
        <w:rPr>
          <w:rFonts w:ascii="Times New Roman;serif" w:hAnsi="Times New Roman;serif"/>
          <w:b w:val="false"/>
          <w:i/>
          <w:sz w:val="22"/>
        </w:rPr>
        <w:t>Section 409A.</w:t>
      </w:r>
      <w:r>
        <w:rPr>
          <w:rFonts w:ascii="Times New Roman;serif" w:hAnsi="Times New Roman;serif"/>
          <w:b w:val="false"/>
          <w:sz w:val="22"/>
        </w:rPr>
        <w:t>In no event will cash compensation or expense reimbursement payments under this Policy be paid after the later of (a) the 15th day of the 3rd month following the end of the Company’s taxable year in which the compensation is earned or expenses are incurred, as applicable, or (b) the 15th day of the 3rd month following the end of</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Independent Director (or any other person) for any taxes imposed, or other costs incurred, as a result of Section 409A.</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8. </w:t>
      </w:r>
      <w:r>
        <w:rPr>
          <w:rFonts w:ascii="Times New Roman;serif" w:hAnsi="Times New Roman;serif"/>
          <w:b w:val="false"/>
          <w:i/>
          <w:sz w:val="22"/>
        </w:rPr>
        <w:t>Revisions.</w:t>
      </w:r>
      <w:r>
        <w:rPr>
          <w:rFonts w:ascii="Times New Roman;serif" w:hAnsi="Times New Roman;serif"/>
          <w:b w:val="false"/>
          <w:sz w:val="22"/>
        </w:rPr>
        <w:t>The Board or any committee of the Board that has been designated appropriate authority with respect to Independent Director compensation (or with respect to any applicable element or elements thereof, authority with respect to such element or elements) (the “Committee”) may amend, alter, suspend or terminate this Policy at any time and for any reason. Further, the Board may provide for cash, equity, or other compensation to Independent Directors in addition to the compensation provided under this Policy. No amendment, alteration, suspension or termination of this Policy will materially impair the rights of an Independent Director with respect to compensation that already has been paid or awarded, unless otherwise mutually agreed between the Independent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9. </w:t>
      </w:r>
      <w:r>
        <w:rPr>
          <w:rFonts w:ascii="Times New Roman;serif" w:hAnsi="Times New Roman;serif"/>
          <w:b w:val="false"/>
          <w:i/>
          <w:sz w:val="22"/>
        </w:rPr>
        <w:t>Stock Ownership Guidelines</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9.1 </w:t>
      </w:r>
      <w:r>
        <w:rPr>
          <w:rFonts w:ascii="Times New Roman;serif" w:hAnsi="Times New Roman;serif"/>
          <w:b w:val="false"/>
          <w:i/>
          <w:sz w:val="22"/>
        </w:rPr>
        <w:t xml:space="preserve">Required Ownership. </w:t>
      </w:r>
      <w:r>
        <w:rPr>
          <w:rFonts w:ascii="Times New Roman;serif" w:hAnsi="Times New Roman;serif"/>
          <w:b w:val="false"/>
          <w:sz w:val="22"/>
        </w:rPr>
        <w:t>Each Independent Director shall own Common Stock of the Company with a value equal to five (5) times the annual cash retainer. Until the applicable ownership level is achieved, Independent Directors must retain 100 percent of Common Stock issued pursuant to Awards granted as compensation from the Company (i.e., after applicable tax withholding and amounts required to pay exercise prices). Independent Directors are required to achieve the applicable level of ownership within five (5) years of the date such individual has become a Director</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9.2 </w:t>
      </w:r>
      <w:r>
        <w:rPr>
          <w:rFonts w:ascii="Times New Roman;serif" w:hAnsi="Times New Roman;serif"/>
          <w:b w:val="false"/>
          <w:i/>
          <w:sz w:val="22"/>
        </w:rPr>
        <w:t xml:space="preserve">Determining Ownership. </w:t>
      </w:r>
      <w:r>
        <w:rPr>
          <w:rFonts w:ascii="Times New Roman;serif" w:hAnsi="Times New Roman;serif"/>
          <w:b w:val="false"/>
          <w:sz w:val="22"/>
        </w:rPr>
        <w:t>Common Stock ownership that counts toward an individual’s satisfaction of the foregoing requirements includes only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2"/>
        </w:rPr>
      </w:pPr>
      <w:r>
        <w:rPr>
          <w:rFonts w:ascii="Times New Roman;serif" w:hAnsi="Times New Roman;serif"/>
          <w:b w:val="false"/>
          <w:sz w:val="22"/>
        </w:rPr>
        <w:t xml:space="preserve">outstanding shares of Common Stock derived from the vesting of restricted stock units;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2"/>
        </w:rPr>
      </w:pPr>
      <w:r>
        <w:rPr>
          <w:rFonts w:ascii="Times New Roman;serif" w:hAnsi="Times New Roman;serif"/>
          <w:b w:val="false"/>
          <w:sz w:val="22"/>
        </w:rPr>
        <w:t>all other outstanding shares of Common Stock, including, without limitation, shares received privately from the Company or a third party or shares purchased on the open market;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2"/>
        </w:rPr>
      </w:pPr>
      <w:r>
        <w:rPr>
          <w:rFonts w:ascii="Times New Roman;serif" w:hAnsi="Times New Roman;serif"/>
          <w:b w:val="false"/>
          <w:sz w:val="22"/>
        </w:rPr>
        <w:t>either of the foregoing, where owned by an individual’s immediate family members residing in the same household (“Immediate Family”) or held in trust for the benefit of an individual or his or her Immediate Family.</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9.3 </w:t>
      </w:r>
      <w:r>
        <w:rPr>
          <w:rFonts w:ascii="Times New Roman;serif" w:hAnsi="Times New Roman;serif"/>
          <w:b w:val="false"/>
          <w:i/>
          <w:sz w:val="22"/>
        </w:rPr>
        <w:t xml:space="preserve">Ownership Calculation. </w:t>
      </w:r>
      <w:r>
        <w:rPr>
          <w:rFonts w:ascii="Times New Roman;serif" w:hAnsi="Times New Roman;serif"/>
          <w:b w:val="false"/>
          <w:sz w:val="22"/>
        </w:rPr>
        <w:t>Common Stock ownership levels for will be calculated annually at the end of the fiscal year, based on the average closing price of the Common Stock over the previous 90 calendar days. The Common Stock ownership on the date a Director meets these requirements will continue to satisfy the applicable ownership requirement regardless of changes in the trading price of the Common Stock, unless and until the required ownership level increases due to (i) an annual cash retainer increase, (ii) a change in role, or (iii) a sale of the Common Stock.</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1" w:name="tygo-ex31_1.htm"/>
      <w:bookmarkStart w:id="22" w:name="kstygoex31_1"/>
      <w:bookmarkEnd w:id="21"/>
      <w:bookmarkEnd w:id="22"/>
      <w:r>
        <w:rPr>
          <w:rFonts w:ascii="Times New Roman;serif" w:hAnsi="Times New Roman;serif"/>
          <w:b/>
          <w:sz w:val="20"/>
        </w:rPr>
        <w:t>EXHIBIT 31.1</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Zvi Alon,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quarterly period ended June 30, 2023 of Tigo Energy,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6257" w:type="dxa"/>
        <w:jc w:val="left"/>
        <w:tblInd w:w="0" w:type="dxa"/>
        <w:tblLayout w:type="fixed"/>
        <w:tblCellMar>
          <w:top w:w="28" w:type="dxa"/>
          <w:left w:w="28" w:type="dxa"/>
          <w:bottom w:w="28" w:type="dxa"/>
          <w:right w:w="28" w:type="dxa"/>
        </w:tblCellMar>
      </w:tblPr>
      <w:tblGrid>
        <w:gridCol w:w="1951"/>
        <w:gridCol w:w="4306"/>
      </w:tblGrid>
      <w:tr>
        <w:trPr/>
        <w:tc>
          <w:tcPr>
            <w:tcW w:w="195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 August 11, 2023</w:t>
            </w:r>
          </w:p>
        </w:tc>
        <w:tc>
          <w:tcPr>
            <w:tcW w:w="43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3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3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Zvi Alon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Zvi Alon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Chairman of the Board</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306" w:type="dxa"/>
            <w:tcBorders/>
            <w:vAlign w:val="center"/>
          </w:tcPr>
          <w:p>
            <w:pPr>
              <w:pStyle w:val="TableContents"/>
              <w:bidi w:val="0"/>
              <w:spacing w:before="0" w:after="283"/>
              <w:ind w:left="0" w:right="0" w:hanging="0"/>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tygo-ex31_2.htm"/>
      <w:bookmarkStart w:id="24" w:name="kstygoex31_2"/>
      <w:bookmarkEnd w:id="23"/>
      <w:bookmarkEnd w:id="24"/>
      <w:r>
        <w:rPr>
          <w:rFonts w:ascii="Times New Roman;serif" w:hAnsi="Times New Roman;serif"/>
          <w:b/>
          <w:sz w:val="20"/>
        </w:rPr>
        <w:t>EXHIBIT 31.2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Bill Roeschein,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quarterly period ended June 30, 2023 of Tigo Energy,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3962" w:type="dxa"/>
        <w:jc w:val="left"/>
        <w:tblInd w:w="0" w:type="dxa"/>
        <w:tblLayout w:type="fixed"/>
        <w:tblCellMar>
          <w:top w:w="28" w:type="dxa"/>
          <w:left w:w="28" w:type="dxa"/>
          <w:bottom w:w="28" w:type="dxa"/>
          <w:right w:w="28" w:type="dxa"/>
        </w:tblCellMar>
      </w:tblPr>
      <w:tblGrid>
        <w:gridCol w:w="1951"/>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 August 11, 2023</w:t>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Bill Roeschein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 Roeschein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5" w:name="tygo-ex32_1.htm"/>
      <w:bookmarkStart w:id="26" w:name="kstygoex32_1"/>
      <w:bookmarkEnd w:id="25"/>
      <w:bookmarkEnd w:id="26"/>
      <w:r>
        <w:rPr>
          <w:rFonts w:ascii="Times New Roman;serif" w:hAnsi="Times New Roman;serif"/>
          <w:b/>
          <w:sz w:val="20"/>
        </w:rPr>
        <w:t>EXHIBIT 32.1</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1350</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Tigo Energy,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for the quarter ended June 30, 2023, as filed with the Securities and Exchange Commission on the date hereof (the “</w:t>
      </w:r>
      <w:r>
        <w:rPr>
          <w:rFonts w:ascii="Times New Roman;serif" w:hAnsi="Times New Roman;serif"/>
          <w:b w:val="false"/>
          <w:sz w:val="20"/>
          <w:u w:val="single"/>
        </w:rPr>
        <w:t>Report</w:t>
      </w:r>
      <w:r>
        <w:rPr>
          <w:rFonts w:ascii="Times New Roman" w:hAnsi="Times New Roman"/>
          <w:sz w:val="20"/>
        </w:rPr>
        <w:t>”</w:t>
      </w:r>
      <w:r>
        <w:rPr>
          <w:rFonts w:ascii="Times New Roman;serif" w:hAnsi="Times New Roman;serif"/>
          <w:b w:val="false"/>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Dated: August 11, 2023</w:t>
      </w:r>
    </w:p>
    <w:p>
      <w:pPr>
        <w:pStyle w:val="TextBody"/>
        <w:bidi w:val="0"/>
        <w:spacing w:before="0" w:after="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Zvi Alon</w:t>
            </w:r>
          </w:p>
        </w:tc>
      </w:tr>
      <w:tr>
        <w:trPr/>
        <w:tc>
          <w:tcPr>
            <w:tcW w:w="161"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Zvi Alon</w:t>
            </w:r>
          </w:p>
        </w:tc>
      </w:tr>
      <w:tr>
        <w:trPr/>
        <w:tc>
          <w:tcPr>
            <w:tcW w:w="161"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Chairman of the Board</w:t>
            </w:r>
          </w:p>
        </w:tc>
      </w:tr>
      <w:tr>
        <w:trPr/>
        <w:tc>
          <w:tcPr>
            <w:tcW w:w="161"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tygo-ex32_2.htm"/>
      <w:bookmarkStart w:id="28" w:name="kstygoex32_2"/>
      <w:bookmarkEnd w:id="27"/>
      <w:bookmarkEnd w:id="28"/>
      <w:r>
        <w:rPr>
          <w:rFonts w:ascii="Times New Roman;serif" w:hAnsi="Times New Roman;serif"/>
          <w:b/>
          <w:sz w:val="20"/>
        </w:rPr>
        <w:t>EXHIBIT 32.2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1350</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Tigo Energy,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for the quarter ended June 30, 2023, as filed with the Securities and Exchange Commission on the date hereof (the “</w:t>
      </w:r>
      <w:r>
        <w:rPr>
          <w:rFonts w:ascii="Times New Roman;serif" w:hAnsi="Times New Roman;serif"/>
          <w:b w:val="false"/>
          <w:sz w:val="20"/>
          <w:u w:val="single"/>
        </w:rPr>
        <w:t>Report</w:t>
      </w:r>
      <w:r>
        <w:rPr>
          <w:rFonts w:ascii="Times New Roman" w:hAnsi="Times New Roman"/>
          <w:sz w:val="20"/>
        </w:rPr>
        <w:t>”</w:t>
      </w:r>
      <w:r>
        <w:rPr>
          <w:rFonts w:ascii="Times New Roman;serif" w:hAnsi="Times New Roman;serif"/>
          <w:b w:val="false"/>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Dated: August 11, 2023</w:t>
      </w:r>
    </w:p>
    <w:p>
      <w:pPr>
        <w:pStyle w:val="TextBody"/>
        <w:bidi w:val="0"/>
        <w:spacing w:before="0" w:after="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Bill Roeschein</w:t>
            </w:r>
          </w:p>
        </w:tc>
      </w:tr>
      <w:tr>
        <w:trPr/>
        <w:tc>
          <w:tcPr>
            <w:tcW w:w="16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 Roeschein</w:t>
            </w:r>
          </w:p>
        </w:tc>
      </w:tr>
      <w:tr>
        <w:trPr/>
        <w:tc>
          <w:tcPr>
            <w:tcW w:w="16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6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10465923043194/rocg-20220930xex2d2.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1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21390023044099/ea179362ex3-2_tigoenergy.htm" TargetMode="External"/><Relationship Id="rId7" Type="http://schemas.openxmlformats.org/officeDocument/2006/relationships/hyperlink" Target="https://www.sec.gov/Archives/edgar/data/1855447/000110465921090357/tm2112097d2_ex4-4.htm" TargetMode="External"/><Relationship Id="rId8" Type="http://schemas.openxmlformats.org/officeDocument/2006/relationships/hyperlink" Target="https://www.sec.gov/Archives/edgar/data/1855447/000121390023044099/ea179362ex10-2_tigoenergy.htm" TargetMode="External"/><Relationship Id="rId9" Type="http://schemas.openxmlformats.org/officeDocument/2006/relationships/hyperlink" Target="https://www.sec.gov/Archives/edgar/data/1855447/000121390023048173/ea180186ex10-1_tigoenergy.htm" TargetMode="External"/><Relationship Id="rId10" Type="http://schemas.openxmlformats.org/officeDocument/2006/relationships/hyperlink" Target="https://www.sec.gov/Archives/edgar/data/1855447/000121390023065713/ea183124ex4-8_tigoenergy.htm" TargetMode="External"/><Relationship Id="rId11" Type="http://schemas.openxmlformats.org/officeDocument/2006/relationships/hyperlink" Target="https://www.sec.gov/Archives/edgar/data/1855447/000121390023065713/ea183124ex4-9_tigoenergy.htm" TargetMode="External"/><Relationship Id="rId12" Type="http://schemas.openxmlformats.org/officeDocument/2006/relationships/hyperlink" Target="https://www.sec.gov/Archives/edgar/data/1855447/000121390023065713/ea183124ex4-10_tigoenergy.htm" TargetMode="External"/><Relationship Id="rId13" Type="http://schemas.openxmlformats.org/officeDocument/2006/relationships/hyperlink" Target="https://www.sec.gov/Archives/edgar/data/1855447/000121390023065713/ea183124ex4-11_tigoenergy.htm" TargetMode="External"/><Relationship Id="rId14" Type="http://schemas.openxmlformats.org/officeDocument/2006/relationships/hyperlink" Target="https://www.sec.gov/Archives/edgar/data/1855447/000121390023065713/ea183124ex4-12_tigoenergy.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25118</Words>
  <Characters>137583</Characters>
  <CharactersWithSpaces>164211</CharactersWithSpaces>
  <Paragraphs>7223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