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Tian 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11,613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319,748</w:t>
            </w:r>
            <w:r>
              <w:rPr>
                <w:rFonts w:ascii="Times;serif" w:hAnsi="Times;serif"/>
                <w:color w:val="008000"/>
                <w:position w:val="7"/>
                <w:sz w:val="16"/>
                <w:sz w:val="20"/>
                <w:shd w:fill="FFFFFF" w:val="clear"/>
              </w:rPr>
              <w:t>(2)(3)(4)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23,758 shares of Common Stock underlying RSUs granted to the reporting person on September 16, 2024 (the "September 2024 Grant Date"), 51,416 shares of Common Stock underlying RSU's granted to the reporting person on August 1, 2025 (the "August 2025 Grant Date"), and 61,800 shares of Common Stock underlying RSUs granted to the reporting person on August 7, 2026 (the "August 2026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each of September 16, 2025 and September 16, 2026. One-third (1/3) of the RSUs subject to the grant shall vest, and an equal number of shares of Common Stock will be deliverable to the reporting person, on the third anniversary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 One-Third (1/3) of the RSUs granted to the reporting person on August 7, 2026 shall vest, and an equal number of shares of Common Stock will be deliverable to the reporting person, on each of the first three anniversaries of the August 2026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342"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922</Words>
  <Characters>4858</Characters>
  <CharactersWithSpaces>5710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