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ygo-20250930.htm"/>
      <w:bookmarkStart w:id="1" w:name="kstygo202509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transition period from _____ to _____</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Commission File Number: 001-40710</w:t>
      </w:r>
    </w:p>
    <w:p>
      <w:pPr>
        <w:pStyle w:val="TextBody"/>
        <w:bidi w:val="0"/>
        <w:jc w:val="center"/>
        <w:rPr>
          <w:rFonts w:ascii="Times New Roman" w:hAnsi="Times New Roman"/>
          <w:b/>
          <w:color w:val="000000"/>
          <w:sz w:val="48"/>
        </w:rPr>
      </w:pPr>
      <w:r>
        <w:rPr>
          <w:rFonts w:ascii="Times New Roman" w:hAnsi="Times New Roman"/>
          <w:b/>
          <w:color w:val="000000"/>
          <w:sz w:val="48"/>
        </w:rPr>
        <w:t>Tigo Energy,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022" w:type="dxa"/>
        <w:jc w:val="left"/>
        <w:tblInd w:w="0" w:type="dxa"/>
        <w:tblLayout w:type="fixed"/>
        <w:tblCellMar>
          <w:top w:w="28" w:type="dxa"/>
          <w:left w:w="28" w:type="dxa"/>
          <w:bottom w:w="28" w:type="dxa"/>
          <w:right w:w="28" w:type="dxa"/>
        </w:tblCellMar>
      </w:tblPr>
      <w:tblGrid>
        <w:gridCol w:w="2776"/>
        <w:gridCol w:w="1246"/>
      </w:tblGrid>
      <w:tr>
        <w:trPr/>
        <w:tc>
          <w:tcPr>
            <w:tcW w:w="277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7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83-3583873</w:t>
            </w:r>
          </w:p>
        </w:tc>
      </w:tr>
      <w:tr>
        <w:trPr/>
        <w:tc>
          <w:tcPr>
            <w:tcW w:w="277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77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983 University Avenue, Suite B,</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Los Gatos, California</w:t>
            </w:r>
          </w:p>
        </w:tc>
        <w:tc>
          <w:tcPr>
            <w:tcW w:w="124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95032</w:t>
            </w:r>
          </w:p>
        </w:tc>
      </w:tr>
      <w:tr>
        <w:trPr/>
        <w:tc>
          <w:tcPr>
            <w:tcW w:w="27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Registrant’s telephone number, including area code: (408) 402-0802</w:t>
      </w:r>
    </w:p>
    <w:p>
      <w:pPr>
        <w:pStyle w:val="TextBody"/>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tbl>
      <w:tblPr>
        <w:tblW w:w="8245" w:type="dxa"/>
        <w:jc w:val="left"/>
        <w:tblInd w:w="0" w:type="dxa"/>
        <w:tblLayout w:type="fixed"/>
        <w:tblCellMar>
          <w:top w:w="28" w:type="dxa"/>
          <w:left w:w="28" w:type="dxa"/>
          <w:bottom w:w="28" w:type="dxa"/>
          <w:right w:w="28" w:type="dxa"/>
        </w:tblCellMar>
      </w:tblPr>
      <w:tblGrid>
        <w:gridCol w:w="3361"/>
        <w:gridCol w:w="146"/>
        <w:gridCol w:w="1276"/>
        <w:gridCol w:w="146"/>
        <w:gridCol w:w="331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Common Stock, par value $0.0001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TYGO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086" w:type="dxa"/>
        <w:jc w:val="left"/>
        <w:tblInd w:w="0" w:type="dxa"/>
        <w:tblLayout w:type="fixed"/>
        <w:tblCellMar>
          <w:top w:w="28" w:type="dxa"/>
          <w:left w:w="28" w:type="dxa"/>
          <w:bottom w:w="28" w:type="dxa"/>
          <w:right w:w="28" w:type="dxa"/>
        </w:tblCellMar>
      </w:tblPr>
      <w:tblGrid>
        <w:gridCol w:w="2056"/>
        <w:gridCol w:w="109"/>
        <w:gridCol w:w="316"/>
        <w:gridCol w:w="109"/>
        <w:gridCol w:w="2026"/>
        <w:gridCol w:w="109"/>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As of October 31, 2025, the registrant had 70,352,248</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Quarterly Report on Form 10-Q contains statements that are “forward-looking looking statements” within the meaning of the Private Securities Litigation Reform Act of 1995. These forward-looking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in this Quarterly Report on Form 10-Q,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the Company discusses its strategies or plans, the Company is making projections, forecasts or forward-looking statements. Such statements are based on the beliefs of, as well as assumptions made by and information currently available to, the Company’s management.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Forward-looking statements in this Quarterly Report on Form 10-Q may include, for example, statements about: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meet future liquidity requirements, including our ability to continue as a going concern, which will likely require us to explore refinancing our existing debt and/or raise additional capital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projected financial information and market opportunities of the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ability to meet the continued listing requirements of Nasdaq;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develop and sell its product offerings and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manage risks associated with seasonal trends and the cyclical nature of the solar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liquidity and trading of the Company’s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acquire and protect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manage risks associated with the Company’s dependence on a small number of outside contract manufacturers, primarily in China, Thailand and Vietnam;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continue working with leading solar manufacturers;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respond to fluctuations in foreign currency exchange rates, trade tariffs or other trade barriers, and political unrest and regulatory changes in the markets into which the Company expands or otherwise operates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enhance future operating and financial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forecast demand accurately and monetize its inventory on-hand;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retain or recruit, or changes required in, its officers, key employees or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implement and maintain effective internal controls;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factors relating to the Company’s business, operations and financial performance, including: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ability to comply with laws and regulations applicable to its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 conditions and global and economic factors beyond the Company’s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compete in the highly competitive and evolving solar industry;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continue to develop new products and innovations to meet constantly evolving customer demands;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enter into, successfully maintain and manage relationships with partners and distributors;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ability to acquire or make investments in other businesses, patents, technologies, products or services to grow the business, and realize the anticipated benefits therefrom.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cautions you that the foregoing list may not contain all of the forward-looking statements made in this Quarterly Report on Form 10-Q. These forward-looking statements are only predictions based on the Company’s current expectations and projections about future events and are subject to a number of risks, uncertainties and assumptions, including those described in this Quarterly Report on Form 10-Q, in particular the risks described in Part II, Item 1A, “Risk Factors” of this Quarterly Report and in Part I, Item 1A, “Risk Factors” in the Company’s Annual Report on Form 10-K filed with the Securities and Exchange Commission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240" w:after="283"/>
        <w:jc w:val="both"/>
        <w:rPr>
          <w:color w:val="000000"/>
        </w:rPr>
      </w:pPr>
      <w:r>
        <w:rPr>
          <w:color w:val="000000"/>
        </w:rPr>
        <w:t>“</w:t>
      </w:r>
      <w:r>
        <w:rPr>
          <w:rFonts w:ascii="Times New Roman" w:hAnsi="Times New Roman"/>
          <w:color w:val="000000"/>
          <w:sz w:val="20"/>
        </w:rPr>
        <w:t>SEC”) on March 20, 2025 (the “2024 Annual Report”) and the Company’s other filings with the SEC. It is not possible for the management of the Company to predict all risks, nor can the Company assess the impact of all factors on the Company’s business or the extent to which any factor, or combination of factors, may cause actual results to differ materially from those contained in any forward-looking statements the Company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in this Quarterly Report on Form 10-Q.</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forward-looking statements included in this Quarterly Report on Form 10-Q are made only as of the date hereof. You should not rely upon forward-looking statements as predictions of future events. Although the Company believes that the expectations reflected in its forward-looking statements are reasonable, the Company cannot guarantee that the future results, levels of activity, performance or events and circumstances reflected in the forward-looking statements will be achieved or occur. The Company does not undertake any obligation to update publicly any forward-looking statements for any reason after the date of this Quarterly Report on Form 10-Q to conform these statements to actual results or to changes in expectations, except as required by law. You should read this Quarterly Report on Form 10-Q and the documents that have been filed as exhibits hereto with the understanding that the actual future results, levels of activity, performance, events and circumstances of the Company may be materially different from what is expected.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54"/>
        <w:gridCol w:w="9089"/>
        <w:gridCol w:w="362"/>
      </w:tblGrid>
      <w:tr>
        <w:trPr/>
        <w:tc>
          <w:tcPr>
            <w:tcW w:w="754" w:type="dxa"/>
            <w:tcBorders/>
            <w:shd w:fill="FFFFFF" w:val="clear"/>
            <w:vAlign w:val="center"/>
          </w:tcPr>
          <w:p>
            <w:pPr>
              <w:pStyle w:val="TableContents"/>
              <w:bidi w:val="0"/>
              <w:spacing w:before="0" w:after="283"/>
              <w:jc w:val="left"/>
              <w:rPr>
                <w:sz w:val="4"/>
                <w:szCs w:val="4"/>
              </w:rPr>
            </w:pPr>
            <w:r>
              <w:rPr>
                <w:sz w:val="4"/>
                <w:szCs w:val="4"/>
              </w:rPr>
            </w:r>
          </w:p>
        </w:tc>
        <w:tc>
          <w:tcPr>
            <w:tcW w:w="9089" w:type="dxa"/>
            <w:tcBorders/>
            <w:shd w:fill="FFFFFF" w:val="clear"/>
            <w:vAlign w:val="center"/>
          </w:tcPr>
          <w:p>
            <w:pPr>
              <w:pStyle w:val="TableContents"/>
              <w:bidi w:val="0"/>
              <w:spacing w:before="0" w:after="283"/>
              <w:jc w:val="left"/>
              <w:rPr>
                <w:sz w:val="4"/>
                <w:szCs w:val="4"/>
              </w:rPr>
            </w:pPr>
            <w:r>
              <w:rPr>
                <w:sz w:val="4"/>
                <w:szCs w:val="4"/>
              </w:rPr>
            </w:r>
          </w:p>
        </w:tc>
        <w:tc>
          <w:tcPr>
            <w:tcW w:w="362" w:type="dxa"/>
            <w:tcBorders/>
            <w:shd w:fill="FFFFFF" w:val="clear"/>
            <w:vAlign w:val="center"/>
          </w:tcPr>
          <w:p>
            <w:pPr>
              <w:pStyle w:val="TableContents"/>
              <w:bidi w:val="0"/>
              <w:spacing w:before="0" w:after="283"/>
              <w:jc w:val="left"/>
              <w:rPr>
                <w:sz w:val="4"/>
                <w:szCs w:val="4"/>
              </w:rPr>
            </w:pPr>
            <w:r>
              <w:rPr>
                <w:sz w:val="4"/>
                <w:szCs w:val="4"/>
              </w:rPr>
            </w:r>
          </w:p>
        </w:tc>
      </w:tr>
      <w:tr>
        <w:trPr/>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 FINANCIAL INFORMATION</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 </w:t>
            </w:r>
          </w:p>
        </w:tc>
        <w:tc>
          <w:tcPr>
            <w:tcW w:w="9089"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Times New Roman" w:hAnsi="Times New Roman"/>
                  <w:color w:val="0000FF"/>
                  <w:sz w:val="20"/>
                  <w:u w:val="single"/>
                </w:rPr>
                <w:t>Financial Statements (Unaudited)</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89"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September 30, 2025, and December 31, 2024</w:t>
              </w:r>
            </w:hyperlink>
            <w:hyperlink w:anchor="condensed_consolidated_balance_sheets">
              <w:r>
                <w:rPr>
                  <w:rStyle w:val="InternetLink"/>
                  <w:rFonts w:ascii="Times New Roman" w:hAnsi="Times New Roman"/>
                  <w:color w:val="0000FF"/>
                  <w:sz w:val="20"/>
                </w:rPr>
                <w:t xml:space="preserve"> </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89" w:type="dxa"/>
            <w:tcBorders/>
            <w:tcMar>
              <w:top w:w="0" w:type="dxa"/>
              <w:left w:w="0" w:type="dxa"/>
              <w:bottom w:w="0" w:type="dxa"/>
              <w:right w:w="0" w:type="dxa"/>
            </w:tcMar>
            <w:vAlign w:val="center"/>
          </w:tcPr>
          <w:p>
            <w:pPr>
              <w:pStyle w:val="TableContents"/>
              <w:bidi w:val="0"/>
              <w:spacing w:before="0" w:after="283"/>
              <w:jc w:val="left"/>
              <w:rPr/>
            </w:pPr>
            <w:hyperlink w:anchor="condensed_stmt_of_ops_and_comp_income">
              <w:r>
                <w:rPr>
                  <w:rStyle w:val="InternetLink"/>
                  <w:rFonts w:ascii="Times New Roman" w:hAnsi="Times New Roman"/>
                  <w:color w:val="0000FF"/>
                  <w:sz w:val="20"/>
                  <w:u w:val="single"/>
                </w:rPr>
                <w:t>Condensed Consolidated Statements of Operations and Comprehensive Loss for the Three and Nine Months ended September 30, 2025, and 2024</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89" w:type="dxa"/>
            <w:tcBorders/>
            <w:tcMar>
              <w:top w:w="0" w:type="dxa"/>
              <w:left w:w="0" w:type="dxa"/>
              <w:bottom w:w="0" w:type="dxa"/>
              <w:right w:w="0" w:type="dxa"/>
            </w:tcMar>
            <w:vAlign w:val="center"/>
          </w:tcPr>
          <w:p>
            <w:pPr>
              <w:pStyle w:val="TableContents"/>
              <w:bidi w:val="0"/>
              <w:spacing w:before="0" w:after="283"/>
              <w:jc w:val="left"/>
              <w:rPr/>
            </w:pPr>
            <w:hyperlink w:anchor="statements_of_equity">
              <w:r>
                <w:rPr>
                  <w:rStyle w:val="InternetLink"/>
                  <w:rFonts w:ascii="Times New Roman" w:hAnsi="Times New Roman"/>
                  <w:color w:val="0000FF"/>
                  <w:sz w:val="20"/>
                  <w:u w:val="single"/>
                </w:rPr>
                <w:t>Condensed Consolidated Statements of Stockholders’ Equity for the Three and Nine Months ended September 30, 2025, and 2024</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89" w:type="dxa"/>
            <w:tcBorders/>
            <w:tcMar>
              <w:top w:w="0" w:type="dxa"/>
              <w:left w:w="0" w:type="dxa"/>
              <w:bottom w:w="0" w:type="dxa"/>
              <w:right w:w="0" w:type="dxa"/>
            </w:tcMar>
            <w:vAlign w:val="center"/>
          </w:tcPr>
          <w:p>
            <w:pPr>
              <w:pStyle w:val="TableContents"/>
              <w:bidi w:val="0"/>
              <w:spacing w:before="0" w:after="283"/>
              <w:jc w:val="left"/>
              <w:rPr/>
            </w:pPr>
            <w:hyperlink w:anchor="condensed_consolidated_stmt_of_cash_flow">
              <w:r>
                <w:rPr>
                  <w:rStyle w:val="InternetLink"/>
                  <w:rFonts w:ascii="Times New Roman" w:hAnsi="Times New Roman"/>
                  <w:color w:val="0000FF"/>
                  <w:sz w:val="20"/>
                  <w:u w:val="single"/>
                </w:rPr>
                <w:t>Condensed Consolidated Statements of Cash Flows for the Nine Months ended September 30, 2025, and 2024</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89" w:type="dxa"/>
            <w:tcBorders/>
            <w:tcMar>
              <w:top w:w="0" w:type="dxa"/>
              <w:left w:w="0" w:type="dxa"/>
              <w:bottom w:w="0" w:type="dxa"/>
              <w:right w:w="0" w:type="dxa"/>
            </w:tcMar>
            <w:vAlign w:val="center"/>
          </w:tcPr>
          <w:p>
            <w:pPr>
              <w:pStyle w:val="TableContents"/>
              <w:bidi w:val="0"/>
              <w:spacing w:before="0" w:after="283"/>
              <w:jc w:val="left"/>
              <w:rPr/>
            </w:pPr>
            <w:hyperlink w:anchor="notes_to_consolidated_condensed_fin_stmt">
              <w:r>
                <w:rPr>
                  <w:rStyle w:val="InternetLink"/>
                  <w:rFonts w:ascii="Times New Roman" w:hAnsi="Times New Roman"/>
                  <w:color w:val="0000FF"/>
                  <w:sz w:val="20"/>
                  <w:u w:val="single"/>
                </w:rPr>
                <w:t>Notes to Condensed Consolidated Financial Statements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2. </w:t>
            </w:r>
          </w:p>
        </w:tc>
        <w:tc>
          <w:tcPr>
            <w:tcW w:w="9089" w:type="dxa"/>
            <w:tcBorders/>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3. </w:t>
            </w:r>
          </w:p>
        </w:tc>
        <w:tc>
          <w:tcPr>
            <w:tcW w:w="9089"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4. </w:t>
            </w:r>
          </w:p>
        </w:tc>
        <w:tc>
          <w:tcPr>
            <w:tcW w:w="9089"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II. OTHER INFORMATION</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 </w:t>
            </w:r>
          </w:p>
        </w:tc>
        <w:tc>
          <w:tcPr>
            <w:tcW w:w="9089"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1A. </w:t>
            </w:r>
          </w:p>
        </w:tc>
        <w:tc>
          <w:tcPr>
            <w:tcW w:w="9089"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9089"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3. </w:t>
            </w:r>
          </w:p>
        </w:tc>
        <w:tc>
          <w:tcPr>
            <w:tcW w:w="9089" w:type="dxa"/>
            <w:tcBorders/>
            <w:tcMar>
              <w:top w:w="0" w:type="dxa"/>
              <w:left w:w="0" w:type="dxa"/>
              <w:bottom w:w="0" w:type="dxa"/>
              <w:right w:w="0" w:type="dxa"/>
            </w:tcMar>
            <w:vAlign w:val="center"/>
          </w:tcPr>
          <w:p>
            <w:pPr>
              <w:pStyle w:val="TableContents"/>
              <w:bidi w:val="0"/>
              <w:spacing w:before="0" w:after="283"/>
              <w:jc w:val="left"/>
              <w:rPr/>
            </w:pPr>
            <w:hyperlink w:anchor="tem_3_defaults_upon_senior_securities">
              <w:r>
                <w:rPr>
                  <w:rStyle w:val="InternetLink"/>
                  <w:rFonts w:ascii="Times New Roman" w:hAnsi="Times New Roman"/>
                  <w:color w:val="0000FF"/>
                  <w:sz w:val="20"/>
                  <w:u w:val="single"/>
                </w:rPr>
                <w:t>Defaults Upon Senior Securities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4. </w:t>
            </w:r>
          </w:p>
        </w:tc>
        <w:tc>
          <w:tcPr>
            <w:tcW w:w="9089"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5. </w:t>
            </w:r>
          </w:p>
        </w:tc>
        <w:tc>
          <w:tcPr>
            <w:tcW w:w="9089"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6. </w:t>
            </w:r>
          </w:p>
        </w:tc>
        <w:tc>
          <w:tcPr>
            <w:tcW w:w="9089"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89"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 FINANCIAL INFORMATION</w:t>
      </w:r>
    </w:p>
    <w:p>
      <w:pPr>
        <w:pStyle w:val="TextBody"/>
        <w:bidi w:val="0"/>
        <w:jc w:val="left"/>
        <w:rPr>
          <w:rFonts w:ascii="Times New Roman" w:hAnsi="Times New Roman"/>
          <w:b/>
          <w:i/>
          <w:color w:val="000000"/>
          <w:sz w:val="18"/>
        </w:rPr>
      </w:pPr>
      <w:bookmarkStart w:id="2" w:name="item_1_financial_statements_unaudited"/>
      <w:bookmarkEnd w:id="2"/>
      <w:r>
        <w:rPr>
          <w:rFonts w:ascii="Times New Roman" w:hAnsi="Times New Roman"/>
          <w:b/>
          <w:i/>
          <w:color w:val="000000"/>
          <w:sz w:val="18"/>
        </w:rPr>
        <w:t>Item 1. Financial Statements</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TIGO ENERGY, INC.</w:t>
      </w:r>
    </w:p>
    <w:p>
      <w:pPr>
        <w:pStyle w:val="TextBody"/>
        <w:bidi w:val="0"/>
        <w:jc w:val="center"/>
        <w:rPr>
          <w:rFonts w:ascii="Times New Roman" w:hAnsi="Times New Roman"/>
          <w:b/>
          <w:color w:val="000000"/>
          <w:sz w:val="20"/>
        </w:rPr>
      </w:pPr>
      <w:bookmarkStart w:id="3" w:name="condensed_consolidated_balance_sheets"/>
      <w:bookmarkEnd w:id="3"/>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per share data)</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73"/>
        <w:gridCol w:w="146"/>
        <w:gridCol w:w="217"/>
        <w:gridCol w:w="833"/>
        <w:gridCol w:w="166"/>
        <w:gridCol w:w="146"/>
        <w:gridCol w:w="213"/>
        <w:gridCol w:w="818"/>
        <w:gridCol w:w="693"/>
      </w:tblGrid>
      <w:tr>
        <w:trPr/>
        <w:tc>
          <w:tcPr>
            <w:tcW w:w="6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6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September 30, </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2024</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512" w:type="dxa"/>
            <w:gridSpan w:val="8"/>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ASSETS</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97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11,746</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Marketable securities, 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8,156</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97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18"/>
              </w:rPr>
              <w:t>Accounts receivable, net of allowance for credit losses of $262</w:t>
            </w:r>
            <w:r>
              <w:rPr>
                <w:rFonts w:ascii="Times New Roman" w:hAnsi="Times New Roman"/>
                <w:color w:val="000000"/>
                <w:sz w:val="20"/>
              </w:rPr>
              <w:t> </w:t>
            </w:r>
            <w:r>
              <w:rPr>
                <w:rFonts w:ascii="Times New Roman" w:hAnsi="Times New Roman"/>
                <w:color w:val="000000"/>
                <w:sz w:val="18"/>
              </w:rPr>
              <w:t>and $2,239</w:t>
            </w:r>
            <w:r>
              <w:rPr>
                <w:rFonts w:ascii="Times New Roman" w:hAnsi="Times New Roman"/>
                <w:color w:val="000000"/>
                <w:sz w:val="20"/>
              </w:rPr>
              <w:t> </w:t>
            </w:r>
            <w:r>
              <w:rPr>
                <w:rFonts w:ascii="Times New Roman" w:hAnsi="Times New Roman"/>
                <w:color w:val="000000"/>
                <w:sz w:val="18"/>
              </w:rPr>
              <w:t>at September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7,976</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21,997</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97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3,533</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53,408</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2,812</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right of 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1,576</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1,922</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984</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12,209</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107,839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72,911</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512" w:type="dxa"/>
            <w:gridSpan w:val="8"/>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LIABILITIES AND STOCKHOLDERS’ EQUITY</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97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8,077</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7,361</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97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Short-term debt, net of unamortized debt discount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Deferred revenue,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97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Warranty liability,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97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17,108</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Warranty liability,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5,302</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 net of unamortized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40,511</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961</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97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64,526</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Commitments and Contingencies</w:t>
            </w:r>
            <w:r>
              <w:rPr>
                <w:rFonts w:ascii="Times New Roman" w:hAnsi="Times New Roman"/>
                <w:color w:val="000000"/>
                <w:sz w:val="20"/>
              </w:rPr>
              <w:t> </w:t>
            </w:r>
            <w:r>
              <w:rPr>
                <w:rFonts w:ascii="Times New Roman" w:hAnsi="Times New Roman"/>
                <w:color w:val="000000"/>
                <w:sz w:val="18"/>
              </w:rPr>
              <w:t>(Note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150,000,000</w:t>
            </w:r>
            <w:r>
              <w:rPr>
                <w:rFonts w:ascii="Times New Roman" w:hAnsi="Times New Roman"/>
                <w:color w:val="000000"/>
                <w:sz w:val="20"/>
              </w:rPr>
              <w:t> </w:t>
            </w:r>
            <w:r>
              <w:rPr>
                <w:rFonts w:ascii="Times New Roman" w:hAnsi="Times New Roman"/>
                <w:color w:val="000000"/>
                <w:sz w:val="18"/>
              </w:rPr>
              <w:t>shares authorized; 69,484,663</w:t>
            </w:r>
            <w:r>
              <w:rPr>
                <w:rFonts w:ascii="Times New Roman" w:hAnsi="Times New Roman"/>
                <w:color w:val="000000"/>
                <w:sz w:val="20"/>
              </w:rPr>
              <w:t> </w:t>
            </w:r>
            <w:r>
              <w:rPr>
                <w:rFonts w:ascii="Times New Roman" w:hAnsi="Times New Roman"/>
                <w:color w:val="000000"/>
                <w:sz w:val="18"/>
              </w:rPr>
              <w:t>and 60,800,130</w:t>
            </w:r>
            <w:r>
              <w:rPr>
                <w:rFonts w:ascii="Times New Roman" w:hAnsi="Times New Roman"/>
                <w:color w:val="000000"/>
                <w:sz w:val="20"/>
              </w:rPr>
              <w:t> </w:t>
            </w:r>
            <w:r>
              <w:rPr>
                <w:rFonts w:ascii="Times New Roman" w:hAnsi="Times New Roman"/>
                <w:color w:val="000000"/>
                <w:sz w:val="18"/>
              </w:rPr>
              <w:t>shares issued and outstanding at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97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146,903</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(138,526</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697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8,385</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97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107,839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72,911</w:t>
            </w:r>
          </w:p>
        </w:tc>
        <w:tc>
          <w:tcPr>
            <w:tcW w:w="6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TIGO ENERGY, INC.</w:t>
      </w:r>
    </w:p>
    <w:p>
      <w:pPr>
        <w:pStyle w:val="TextBody"/>
        <w:bidi w:val="0"/>
        <w:jc w:val="center"/>
        <w:rPr>
          <w:rFonts w:ascii="Times New Roman" w:hAnsi="Times New Roman"/>
          <w:b/>
          <w:color w:val="000000"/>
          <w:sz w:val="20"/>
        </w:rPr>
      </w:pPr>
      <w:bookmarkStart w:id="4" w:name="condensed_stmt_of_ops_and_comp_income"/>
      <w:bookmarkEnd w:id="4"/>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data)</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24"/>
        <w:gridCol w:w="646"/>
        <w:gridCol w:w="211"/>
        <w:gridCol w:w="1036"/>
        <w:gridCol w:w="166"/>
        <w:gridCol w:w="146"/>
        <w:gridCol w:w="211"/>
        <w:gridCol w:w="1036"/>
        <w:gridCol w:w="166"/>
        <w:gridCol w:w="146"/>
        <w:gridCol w:w="211"/>
        <w:gridCol w:w="1036"/>
        <w:gridCol w:w="166"/>
        <w:gridCol w:w="146"/>
        <w:gridCol w:w="211"/>
        <w:gridCol w:w="1036"/>
        <w:gridCol w:w="711"/>
      </w:tblGrid>
      <w:tr>
        <w:trPr/>
        <w:tc>
          <w:tcPr>
            <w:tcW w:w="292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36,740</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28,333</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Gross profit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8,407</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Research and development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7,608</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Sales and marketing</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13,036</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General and administrative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15,671</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operating expenses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36,315</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Income (loss) from operations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(27,908</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 net: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Change in fair value of contingent shares liability</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expense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8,549</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income, net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other expenses, net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8,020</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 expense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(35,928</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(35,944</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Unrealized gain resulting from change in fair value of marketable securities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(35,882</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common share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65,683,332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60,608,934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63,226,401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60,130,249</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65,683,332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60,608,934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63,226,401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60,130,249</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5" w:name="statements_of_equity"/>
      <w:bookmarkEnd w:id="5"/>
      <w:r>
        <w:rPr>
          <w:rFonts w:ascii="Times New Roman" w:hAnsi="Times New Roman"/>
          <w:b/>
          <w:color w:val="000000"/>
          <w:sz w:val="20"/>
        </w:rPr>
        <w:t>TIGO ENERGY,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20"/>
        </w:rPr>
      </w:pPr>
      <w:r>
        <w:rPr>
          <w:rFonts w:ascii="Times New Roman" w:hAnsi="Times New Roman"/>
          <w:b/>
          <w:color w:val="000000"/>
          <w:sz w:val="18"/>
        </w:rPr>
        <w:t>(In thousands, except share data)</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18"/>
        </w:rPr>
      </w:pPr>
      <w:r>
        <w:rPr>
          <w:rFonts w:ascii="Times New Roman" w:hAnsi="Times New Roman"/>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140"/>
        <w:gridCol w:w="146"/>
        <w:gridCol w:w="146"/>
        <w:gridCol w:w="916"/>
        <w:gridCol w:w="166"/>
        <w:gridCol w:w="146"/>
        <w:gridCol w:w="228"/>
        <w:gridCol w:w="403"/>
        <w:gridCol w:w="146"/>
        <w:gridCol w:w="146"/>
        <w:gridCol w:w="146"/>
        <w:gridCol w:w="196"/>
        <w:gridCol w:w="691"/>
        <w:gridCol w:w="166"/>
        <w:gridCol w:w="146"/>
        <w:gridCol w:w="196"/>
        <w:gridCol w:w="751"/>
        <w:gridCol w:w="166"/>
        <w:gridCol w:w="146"/>
        <w:gridCol w:w="522"/>
        <w:gridCol w:w="921"/>
        <w:gridCol w:w="166"/>
        <w:gridCol w:w="146"/>
        <w:gridCol w:w="258"/>
        <w:gridCol w:w="792"/>
        <w:gridCol w:w="213"/>
      </w:tblGrid>
      <w:tr>
        <w:trPr/>
        <w:tc>
          <w:tcPr>
            <w:tcW w:w="21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6"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 comprehensive 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Total </w:t>
              <w:br/>
              <w:t>stockholders’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60,800,130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employee incentive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at-the-market offering,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for taxes upon restricted stock awards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resulting from change in fair value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61,914,519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149,296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(145,527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3,775</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employee incentive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at-the-market offering,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for taxes upon restricted stock awards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resulting from change in fair value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62,628,790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151,646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(149,957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1,692</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employee incentive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at-the-market offering,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6,485,219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10,592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for taxes upon restricted stock awards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for taxes upon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resulting from change in fair value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69,484,663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164,166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(152,123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12,055</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TIGO ENERGY,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20"/>
        </w:rPr>
      </w:pPr>
      <w:r>
        <w:rPr>
          <w:rFonts w:ascii="Times New Roman" w:hAnsi="Times New Roman"/>
          <w:b/>
          <w:color w:val="000000"/>
          <w:sz w:val="18"/>
        </w:rPr>
        <w:t>(In thousands, except share data)</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18"/>
        </w:rPr>
      </w:pPr>
      <w:r>
        <w:rPr>
          <w:rFonts w:ascii="Times New Roman" w:hAnsi="Times New Roman"/>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135"/>
        <w:gridCol w:w="146"/>
        <w:gridCol w:w="146"/>
        <w:gridCol w:w="916"/>
        <w:gridCol w:w="166"/>
        <w:gridCol w:w="146"/>
        <w:gridCol w:w="228"/>
        <w:gridCol w:w="403"/>
        <w:gridCol w:w="146"/>
        <w:gridCol w:w="146"/>
        <w:gridCol w:w="146"/>
        <w:gridCol w:w="196"/>
        <w:gridCol w:w="691"/>
        <w:gridCol w:w="166"/>
        <w:gridCol w:w="146"/>
        <w:gridCol w:w="196"/>
        <w:gridCol w:w="751"/>
        <w:gridCol w:w="166"/>
        <w:gridCol w:w="146"/>
        <w:gridCol w:w="523"/>
        <w:gridCol w:w="924"/>
        <w:gridCol w:w="166"/>
        <w:gridCol w:w="146"/>
        <w:gridCol w:w="239"/>
        <w:gridCol w:w="812"/>
        <w:gridCol w:w="213"/>
      </w:tblGrid>
      <w:tr>
        <w:trPr/>
        <w:tc>
          <w:tcPr>
            <w:tcW w:w="21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1"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 comprehensive (loss) gain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Total </w:t>
              <w:br/>
              <w:t>stockholders’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58,751,666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62,824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755,016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the acquisition of fSight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employee incentive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resulting from change in fair value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60,358,166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141,651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54,324</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resulting from change in fair value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60,371,987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143,364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44,740</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the acquisition of fSight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employee incentive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for taxes upon restricted stock awards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resulting from change in fair value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(13,117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60,743,061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145,184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(111,724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33,469</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TIGO ENERGY,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ensed_consolidated_stmt_of_cash_flow"/>
      <w:bookmarkEnd w:id="6"/>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18"/>
        </w:rPr>
      </w:pPr>
      <w:r>
        <w:rPr>
          <w:rFonts w:ascii="Times New Roman" w:hAnsi="Times New Roman"/>
          <w:b/>
          <w:color w:val="000000"/>
          <w:sz w:val="18"/>
        </w:rPr>
        <w:t>(In thousands)</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both"/>
        <w:rPr/>
      </w:pPr>
      <w:r>
        <w:rPr/>
        <w:t> </w:t>
      </w:r>
    </w:p>
    <w:tbl>
      <w:tblPr>
        <w:tblW w:w="9864" w:type="dxa"/>
        <w:jc w:val="left"/>
        <w:tblInd w:w="0" w:type="dxa"/>
        <w:tblLayout w:type="fixed"/>
        <w:tblCellMar>
          <w:top w:w="28" w:type="dxa"/>
          <w:left w:w="28" w:type="dxa"/>
          <w:bottom w:w="28" w:type="dxa"/>
          <w:right w:w="28" w:type="dxa"/>
        </w:tblCellMar>
      </w:tblPr>
      <w:tblGrid>
        <w:gridCol w:w="5101"/>
        <w:gridCol w:w="746"/>
        <w:gridCol w:w="196"/>
        <w:gridCol w:w="661"/>
        <w:gridCol w:w="746"/>
        <w:gridCol w:w="746"/>
        <w:gridCol w:w="196"/>
        <w:gridCol w:w="661"/>
        <w:gridCol w:w="811"/>
      </w:tblGrid>
      <w:tr>
        <w:trPr/>
        <w:tc>
          <w:tcPr>
            <w:tcW w:w="510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(13,597</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(35,944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Provision to write down inventories to net realizable value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864</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 of contingent shares liability</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interest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6,706</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5,782</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allowance for credit losses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lease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Accretion of interest on marketable securities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disposal of property and equipment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receivable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(7,696</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Inventory</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(7,403</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payable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19,993</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expenses and other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Deferred 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Warranty liability</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2,536</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Operating lease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long-term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provided by (used in)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8,674</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(13,407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marketable securities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(28,862</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property and equipment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maturities of marketable securities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21,625</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25,818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(used in) provided by investing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(7,434</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18,305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exercise of stock options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at-the-market offering</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11,365</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of tax withholdings on restricted stock awards and options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provided by financing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11,482</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in cash and cash equivalents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12,722</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at beginning of period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11,746</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at end of period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24,468</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9,461</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500" w:type="dxa"/>
        <w:jc w:val="left"/>
        <w:tblInd w:w="0" w:type="dxa"/>
        <w:tblLayout w:type="fixed"/>
        <w:tblCellMar>
          <w:top w:w="28" w:type="dxa"/>
          <w:left w:w="28" w:type="dxa"/>
          <w:bottom w:w="28" w:type="dxa"/>
          <w:right w:w="28" w:type="dxa"/>
        </w:tblCellMar>
      </w:tblPr>
      <w:tblGrid>
        <w:gridCol w:w="6171"/>
        <w:gridCol w:w="346"/>
        <w:gridCol w:w="241"/>
        <w:gridCol w:w="629"/>
        <w:gridCol w:w="426"/>
        <w:gridCol w:w="426"/>
        <w:gridCol w:w="241"/>
        <w:gridCol w:w="629"/>
        <w:gridCol w:w="391"/>
      </w:tblGrid>
      <w:tr>
        <w:trPr/>
        <w:tc>
          <w:tcPr>
            <w:tcW w:w="61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Supplemental disclosure of cash flow information: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paid for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paid for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Supplemental schedule of non-cash investing and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right of use assets obtained in exchange for operating lease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1,668</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 in 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consideration paid for fSight acquisition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gain resulting from change in fair value of marketable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0"/>
        </w:rPr>
        <w:t>TIGO ENERGY,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bookmarkStart w:id="7" w:name="notes_to_consolidated_condensed_fin_stmt"/>
      <w:bookmarkEnd w:id="7"/>
      <w:r>
        <w:rPr>
          <w:rFonts w:ascii="Times New Roman" w:hAnsi="Times New Roman"/>
          <w:b/>
          <w:color w:val="000000"/>
          <w:sz w:val="20"/>
        </w:rPr>
        <w:t>NOTES TO CONDENSED CONSOLIDATED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Nature of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Tigo Energy, Inc. (f/k/a Roth CH Acquisition IV Co.) and subsidiaries (together, the “Company”) consists of Tigo Energy, Inc. (“Tigo”), its wholly-owned direct and indirect subsidiaries: Tigo Energy MergeCo, Inc. (f/k/a Tigo Energy, Inc.) (“Legacy Tigo”), Tigo Energy Brasil Ltda., Tigo Energy Philippines Inc., Tigo Energy Israel Ltd., Tigo Energy AI Ltd. (f/k/a Foresight Energy, Ltd. (“fSight”)), Tigo Energy Italy SRL, Tigo Energy Equipment Trading (Suzhou) Co., Ltd. and Tigo Energy Australia Pty Ltd. Prior to the consummation of the Business Combination (as defined below), the operations of the Company were conducted through Legacy Tigo. Legacy Tigo was incorporated in Delaware in 2007 and commenced operations in 2010.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provides solar and energy storage solutions, including module level power electronics (“MLPE”) designed to maximize the energy output of individual solar modules, delivering more energy, active management, and enhanced safety for utility, commercial, and residential solar arrays. By combining its MLPE and solar optimizer technology with intelligent, cloud-based software capabilities, the Company enables advanced energy monitoring, system diagnostics, and real-time control. These smart hardware and software solutions enhance system performance, lower operating costs, and ensure compliance with safety regulations, including rapid shutdown requirements. In addition to MLPE, the Company develops and manufactures inverters and battery storage systems for the residential solar-plus storage market, further expanding its suite of solutions for efficient and reliable energy management. The Company is headquartered in Los Gatos, California, with offices in Europe, Asia, and the Middle East.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Entry into a Material Definitive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5, 2022, Roth CH Acquisition IV Co., a Delaware corporation (“ROCG”), Roth IV Merger Sub Inc., a Delaware corporation and a wholly-owned subsidiary of ROCG (“Merger Sub”), and Legacy Tigo, entered into an Agreement and Plan of Merger, as amended on April 6, 2023 (the “Merger Agreement”), pursuant to which, among other transactions, on May 23, 2023 (the “Closing Date”), Merger Sub merged with and into Legacy Tigo (the “Merger”), with Legacy Tigo surviving the Merger as a wholly-owned subsidiary of ROCG (the Merger, together with the other transactions described in the Merger Agreement, the “Business Combination”). In connection with the closing of the Business Combination, ROCG changed its name to “Tigo Energy,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Business Combination, the merger between ROCG and Legacy Tigo was accounted for as a reverse recapitalization in accordance with U.S. GAAP (the “Reverse Recapitalization”). Under this method of accounting, ROCG was treated as the “acquired” company for financial reporting purposes. Accordingly, for accounting purposes, the Reverse Recapitalization was treated as the equivalent of Legacy Tigo issuing stock for the net assets of ROCG, accompanied by a recapitalization. The financial statements of the Company represent a continuation of the financial statements of Legacy Tigo.</w:t>
      </w:r>
    </w:p>
    <w:p>
      <w:pPr>
        <w:pStyle w:val="TextBody"/>
        <w:bidi w:val="0"/>
        <w:spacing w:before="360" w:after="283"/>
        <w:jc w:val="both"/>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in accordance with generally accepted accounting principles in the United States of America (“GAAP”). Any reference in these notes to applicable guidance is meant to refer to GAAP as found in the Accounting Standards Codification (“ASC”) and Accounting Standards Updates (“ASU”) promulgated by the Financial Accounting Standards Board (“FASB”). The condensed consolidated financial statements include the accounts of the Company and its wholly-owned subsidiaries. All intercompany balances and transactions have been eliminated in consolidation.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determined the functional currency of the subsidiaries to be the U.S. dollar. The Company remeasures monetary assets and liabilities of its foreign operations at exchange rates in effect at the balance sheet date and nonmonetary assets and liabilities at their historical exchange rates. Expenses are remeasured at the weighted-average exchange rates during the relevant reporting period. These remeasurement gains and losses are recorded in other income, net in the condensed consolidated statements of operations and comprehensive loss and were not material for the three and nine months ended September 30, 2025, and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opinion of management, the accompanying unaudited condensed consolidated financial statements include all normal and recurring adjustments (which consist primarily of accruals, estimates and assumptions that impact the unaudited condensed consolidated financial statements) considered necessary to present fairly Tigo’s condensed consolidated balance sheet as of September 30, 2025 and its condensed consolidated statements of operations and comprehensive loss, cash flows, and stockholders’ equity for the three and nine months ended September 30, 2025, and 2024. Operating results for the three and nine months ended September 30, 2025, are not necessarily indicative of the results that may be expected for the full year ending December 31, 2025. The unaudited condensed consolidated financial statements, presented herein, do not contain all of the required disclosures under GAAP for annual consolidated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financial statements. The condensed consolidated balance sheet as of December 31, 2024, has been derived from the audited consolidated balance sheet as of that date. These unaudited condensed consolidated financial statements should be read in conjunction with the audited consolidated financial statements and notes thereto included in our Annual Report on Form 10-K for the year ended December 31, 2024, which was filed with the SEC on March 20, 2025.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significant accounting policies are described in Note 2 to its audited consolidated financial statements for the year ended December 31, 2024, which are included in the Company’s Annual Report on Form 10-K filed with the SEC on March 20, 2025.</w:t>
      </w:r>
    </w:p>
    <w:p>
      <w:pPr>
        <w:pStyle w:val="TextBody"/>
        <w:bidi w:val="0"/>
        <w:spacing w:before="360" w:after="283"/>
        <w:jc w:val="left"/>
        <w:rPr>
          <w:rFonts w:ascii="Times New Roman" w:hAnsi="Times New Roman"/>
          <w:b/>
          <w:i/>
          <w:color w:val="221F1F"/>
          <w:sz w:val="20"/>
        </w:rPr>
      </w:pPr>
      <w:r>
        <w:rPr>
          <w:rFonts w:ascii="Times New Roman" w:hAnsi="Times New Roman"/>
          <w:b/>
          <w:i/>
          <w:color w:val="221F1F"/>
          <w:sz w:val="20"/>
        </w:rPr>
        <w:t>Liquidity and Going Concern</w:t>
      </w:r>
    </w:p>
    <w:p>
      <w:pPr>
        <w:pStyle w:val="TextBody"/>
        <w:bidi w:val="0"/>
        <w:spacing w:before="120" w:after="160"/>
        <w:jc w:val="both"/>
        <w:rPr>
          <w:rFonts w:ascii="Times New Roman" w:hAnsi="Times New Roman"/>
          <w:sz w:val="20"/>
        </w:rPr>
      </w:pPr>
      <w:r>
        <w:rPr>
          <w:rFonts w:ascii="Times New Roman" w:hAnsi="Times New Roman"/>
          <w:color w:val="000000"/>
          <w:sz w:val="20"/>
        </w:rPr>
        <w:t xml:space="preserve">In accordance with </w:t>
      </w:r>
      <w:r>
        <w:rPr>
          <w:rFonts w:ascii="Times New Roman" w:hAnsi="Times New Roman"/>
          <w:i/>
          <w:color w:val="000000"/>
          <w:sz w:val="20"/>
        </w:rPr>
        <w:t xml:space="preserve">ASU No. 2014-15, “Disclosure of Uncertainties about an Entity’s Ability to Continue as a Going Concern” </w:t>
      </w:r>
      <w:r>
        <w:rPr>
          <w:rFonts w:ascii="Times New Roman" w:hAnsi="Times New Roman"/>
          <w:color w:val="000000"/>
          <w:sz w:val="20"/>
        </w:rPr>
        <w:t xml:space="preserve">(“Subtopic 205-40”), the Company has evaluated whether there are conditions and events, considered in the aggregate, that raise substantial doubt about the Company’s ability to continue as a going concern within one year after the date that the consolidated financial statements are issued.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As of September 30, 2025, the Company had cash and cash equivalents of $24.5 million and net working capital, which we define as current assets less current liabilities, of $2.9 million. The Convertible Promissory Note (as defined in Note 7, “Debt,” below), has an aggregate principal amount outstanding of $50.0 million as of September 30, 2025, and a maturity date of January 9, 2026. As of the date of this filing, the Company does not have sufficient cash, cash equivalents and marketable securities to repay this obligation. Management determined as a result of this evaluation, the Company’s current cash, net working capital position, and the upcoming maturity date of its Convertible Promissory Note, raises substantial doubt about the Company’s ability to continue as a going concern.</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The Company is exploring options for the refinancing of, or other transactions to facilitate the payment of, the Convertible Promissory Note. The Company’s ability to raise capital may be constrained by the price of and demand for the Company’s common stock. Additional capital may not be available on favorable terms or at all, and could further dilute our current stockholders. Management cannot conclude as of the date of this filing that its plans are probable of being successfully implemented. There can be no assurance that the Company will be able to raise sufficient additional capital or obtain financing that will provide it with sufficient liquidity to satisfy its Convertible Promissory Note obligation in January 2026.</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The condensed consolidated financial statements have been prepared on a basis that assumes the Company will continue as a going concern which contemplates the realization of assets and satisfaction of liabilities and commitments in the ordinary course of business. Accordingly, the accompanying condensed consolidated financial statements do not include any adjustments that might result from the outcome of this uncertainty.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Emerging Growth Company Status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sz w:val="20"/>
        </w:rPr>
      </w:pPr>
      <w:r>
        <w:rPr>
          <w:rFonts w:ascii="Times New Roman" w:hAnsi="Times New Roman"/>
          <w:color w:val="231F20"/>
          <w:sz w:val="20"/>
        </w:rPr>
        <w:t xml:space="preserve">The preparation of the condensed consolidated financial statements, in conformity with GAAP, requires management to </w:t>
      </w:r>
      <w:r>
        <w:rPr>
          <w:rFonts w:ascii="Times New Roman" w:hAnsi="Times New Roman"/>
          <w:color w:val="000000"/>
          <w:sz w:val="20"/>
        </w:rPr>
        <w:t>make estimates and assumptions that affect the reported amounts of assets and liabilities, disclosure of contingent assets and liabilities at the date of the condensed consolidated financial statements and the reported amounts of revenue and expenses during the reporting period. Key estimates in the condensed consolidated financial statements include revenue recognition, fair value of investments, allowance for credit allowances, inventory valuation, impairment of long-lived assets, fair value of acquired intangible assets and goodwill, useful lives of acquired intangible assets and property and equipment, product warranty liabilities, incremental borrowing rate for right of use assets and lease liability, valuation allowance on deferred tax assets, assessment of probability of vesting of performance-based equity awards</w:t>
      </w:r>
      <w:r>
        <w:rPr>
          <w:rFonts w:ascii="Times New Roman" w:hAnsi="Times New Roman"/>
          <w:color w:val="231F20"/>
          <w:sz w:val="20"/>
        </w:rPr>
        <w:t xml:space="preserve"> and stock-based compensation, including the underlying fair value of the common stock. </w:t>
      </w:r>
      <w:r>
        <w:rPr>
          <w:rFonts w:ascii="Times New Roman" w:hAnsi="Times New Roman"/>
          <w:color w:val="000000"/>
          <w:sz w:val="20"/>
        </w:rPr>
        <w:t>These estimates are based on information available as of the date of the financial statements; therefore, actual results could differ materially from those estimates due to risks and uncertainties.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Operating segments are defined as components of an enterprise about which separate discrete information is available for evaluation by the chief operating decision maker (“CODM”), or decision-making group, in deciding how to allocate resources and in assessing performance. The Company’s CODM is the Chief Executive Officer (the “CEO”). The Company has one business activity — the design, development and sale of solar energy optimization solutions. There are no segment managers who are held accountable for operations, operating results or plans for levels or components below the consolidated unit level. Accordingly, management has determined that the Company has a single operating and reportable segment. The CODM assesses performance for the Company, monitors budget versus actual results and determines how to allocate resources based on consolidated net loss as reported in the condensed consolidated statements of operations and comprehensive loss. There are no other significant expense categories regularly provided to the CODM that are not already included in the primary financial statements herein.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Customer Concentration</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For the nine months ended September 30, 2025, one customer represented approximately 10.2% of total revenue. No other customer accounted for 10% or more of total revenue.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December 2023, the FASB issued </w:t>
      </w:r>
      <w:r>
        <w:rPr>
          <w:rFonts w:ascii="Times New Roman" w:hAnsi="Times New Roman"/>
          <w:i/>
          <w:color w:val="000000"/>
          <w:sz w:val="20"/>
        </w:rPr>
        <w:t xml:space="preserve">ASU No. 2023-09, “Improvements to Income Tax Disclosures” </w:t>
      </w:r>
      <w:r>
        <w:rPr>
          <w:rFonts w:ascii="Times New Roman" w:hAnsi="Times New Roman"/>
          <w:color w:val="000000"/>
          <w:sz w:val="20"/>
        </w:rPr>
        <w:t>(“Topic 740”). This ASU requires disaggregated information about a reporting entity’s effective tax rate reconciliation as well as additional information on income taxes paid. The ASU is effective on a prospective basis for annual periods beginning after December 15, 2024, although retrospective application is permitted. Early adoption is also permitted for annual financial statements that have not yet been issued or made available for issuance. The Company plans to adopt this ASU on the effective date and does not expect it to have a material impact on the Company’s financial statements.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November 2024, the FASB issued </w:t>
      </w:r>
      <w:r>
        <w:rPr>
          <w:rFonts w:ascii="Times New Roman" w:hAnsi="Times New Roman"/>
          <w:i/>
          <w:color w:val="000000"/>
          <w:sz w:val="20"/>
        </w:rPr>
        <w:t xml:space="preserve">ASU 2024-03, “Income Statement — Reporting Comprehensive Income — Expense Disaggregation Disclosures </w:t>
      </w:r>
      <w:r>
        <w:rPr>
          <w:rFonts w:ascii="Times New Roman" w:hAnsi="Times New Roman"/>
          <w:color w:val="000000"/>
          <w:sz w:val="20"/>
        </w:rPr>
        <w:t>(“Subtopic 220-40”)</w:t>
      </w:r>
      <w:r>
        <w:rPr>
          <w:rFonts w:ascii="Times New Roman" w:hAnsi="Times New Roman"/>
          <w:i/>
          <w:color w:val="000000"/>
          <w:sz w:val="20"/>
        </w:rPr>
        <w:t xml:space="preserve">: Disaggregation of Income (Loss) Statement Expenses” </w:t>
      </w:r>
      <w:r>
        <w:rPr>
          <w:rFonts w:ascii="Times New Roman" w:hAnsi="Times New Roman"/>
          <w:color w:val="000000"/>
          <w:sz w:val="20"/>
        </w:rPr>
        <w:t xml:space="preserve">(“ASU 2024-03”). ASU 2024-03 requires disaggregation of certain costs and expenses included in each relevant expense caption on the Company’s </w:t>
      </w:r>
      <w:r>
        <w:rPr>
          <w:rFonts w:ascii="Times New Roman" w:hAnsi="Times New Roman"/>
          <w:color w:val="231F20"/>
          <w:sz w:val="20"/>
        </w:rPr>
        <w:t>condensed consolidated statements of operations and comprehensive loss</w:t>
      </w:r>
      <w:r>
        <w:rPr>
          <w:rFonts w:ascii="Times New Roman" w:hAnsi="Times New Roman"/>
          <w:color w:val="000000"/>
          <w:sz w:val="20"/>
        </w:rPr>
        <w:t xml:space="preserve"> in a separate note to the financial statements at each interim and annual reporting period, including amounts of purchases of inventory, employee compensation, depreciation, and intangible asset amortization. ASU 2024-04 is effective fiscal years beginning after December 15, 2026, and interim reporting periods within annual reporting periods beginning after December 15, 2027, with early adoption permitted. The Company is currently evaluating the impact of adopting ASU 2024-03.</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July 2025, the FASB issued ASU No. </w:t>
      </w:r>
      <w:r>
        <w:rPr>
          <w:rFonts w:ascii="Times New Roman" w:hAnsi="Times New Roman"/>
          <w:i/>
          <w:color w:val="000000"/>
          <w:sz w:val="20"/>
        </w:rPr>
        <w:t>2025-05 — Financial Instruments — Credit Losses (Topic 326): Measurement of Credit Losses for Accounts Receivable and Contract Assets</w:t>
      </w:r>
      <w:r>
        <w:rPr>
          <w:rFonts w:ascii="Times New Roman" w:hAnsi="Times New Roman"/>
          <w:color w:val="000000"/>
          <w:sz w:val="20"/>
        </w:rPr>
        <w:t>, which added a practical expedient that assumes that current conditions as of the balance sheet date do not change for the remaining life of the asset when estimating expected credit losses for current accounts receivable and current contract assets. The guidance is effective for annual periods beginning after December 15, 2025. The Company plans to adopt this ASU on the effective date and does not expect it to have a material impact on the Company’s financial statements.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September 2025, the FASB issued ASU No. </w:t>
      </w:r>
      <w:r>
        <w:rPr>
          <w:rFonts w:ascii="Times New Roman" w:hAnsi="Times New Roman"/>
          <w:i/>
          <w:color w:val="000000"/>
          <w:sz w:val="20"/>
        </w:rPr>
        <w:t xml:space="preserve">2025-06—Intangibles—Goodwill and Other—Internal-Use Software (Subtopic 350-40): Targeted Improvements to the Accounting for Internal-Use Software, </w:t>
      </w:r>
      <w:r>
        <w:rPr>
          <w:rFonts w:ascii="Times New Roman" w:hAnsi="Times New Roman"/>
          <w:color w:val="000000"/>
          <w:sz w:val="20"/>
        </w:rPr>
        <w:t xml:space="preserve">which removed the language around project stages that was used to assess when costs could be capitalized for an internal-use software. The update also requires internal-use software to be disclosed under the </w:t>
      </w:r>
      <w:r>
        <w:rPr>
          <w:rFonts w:ascii="Times New Roman" w:hAnsi="Times New Roman"/>
          <w:i/>
          <w:color w:val="000000"/>
          <w:sz w:val="20"/>
        </w:rPr>
        <w:t xml:space="preserve">ASC 360 Property, Plant, and Equipment guidance. </w:t>
      </w:r>
      <w:r>
        <w:rPr>
          <w:rFonts w:ascii="Times New Roman" w:hAnsi="Times New Roman"/>
          <w:color w:val="000000"/>
          <w:sz w:val="20"/>
        </w:rPr>
        <w:t xml:space="preserve">The guidance is effective for annual periods beginning after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December 15, 2027. The Company is currently assessing the impact of this ASU on the Company’s accounting policies and the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net loss per share of common stock is computed by dividing net loss by the weighted-average number of shares of common stock outstanding during each period, without consideration for potential dilutive shares of common stock. Diluted net loss per share of common stock is computed by dividing the net loss by the weighted-average number of common share equivalents outstanding for the period determined using the treasury-stock method and if-converted method, as applicable. In periods in which the Company reports a net loss, diluted net loss per share will be the same as basic net loss per share since dilutive shares are not assumed to have been issued if their effect is antidilutive. As a result, for the periods in which the Company experienced a net loss, the weighted-average shares used to calculate both basic and diluted net loss per share are the same. </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to common stockholders:</w:t>
      </w:r>
    </w:p>
    <w:tbl>
      <w:tblPr>
        <w:tblW w:w="10205" w:type="dxa"/>
        <w:jc w:val="left"/>
        <w:tblInd w:w="0" w:type="dxa"/>
        <w:tblLayout w:type="fixed"/>
        <w:tblCellMar>
          <w:top w:w="28" w:type="dxa"/>
          <w:left w:w="28" w:type="dxa"/>
          <w:bottom w:w="28" w:type="dxa"/>
          <w:right w:w="28" w:type="dxa"/>
        </w:tblCellMar>
      </w:tblPr>
      <w:tblGrid>
        <w:gridCol w:w="3524"/>
        <w:gridCol w:w="346"/>
        <w:gridCol w:w="211"/>
        <w:gridCol w:w="1036"/>
        <w:gridCol w:w="166"/>
        <w:gridCol w:w="146"/>
        <w:gridCol w:w="211"/>
        <w:gridCol w:w="1036"/>
        <w:gridCol w:w="166"/>
        <w:gridCol w:w="146"/>
        <w:gridCol w:w="211"/>
        <w:gridCol w:w="1036"/>
        <w:gridCol w:w="166"/>
        <w:gridCol w:w="146"/>
        <w:gridCol w:w="211"/>
        <w:gridCol w:w="1036"/>
        <w:gridCol w:w="411"/>
      </w:tblGrid>
      <w:tr>
        <w:trPr/>
        <w:tc>
          <w:tcPr>
            <w:tcW w:w="35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and per share data)</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of common stock outstanding – basic and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65,683,332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60,608,934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63,226,401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60,130,249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 basic</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excluded the effect of the below elements from our calculation of diluted loss per share, as their inclusion would have been anti-dilutive. These amounts represent the number of instruments outstanding at the end of the period. </w:t>
      </w:r>
    </w:p>
    <w:p>
      <w:pPr>
        <w:pStyle w:val="TextBody"/>
        <w:bidi w:val="0"/>
        <w:jc w:val="left"/>
        <w:rPr/>
      </w:pPr>
      <w:r>
        <w:rPr/>
        <w:t> </w:t>
      </w:r>
    </w:p>
    <w:tbl>
      <w:tblPr>
        <w:tblW w:w="9554" w:type="dxa"/>
        <w:jc w:val="left"/>
        <w:tblInd w:w="0" w:type="dxa"/>
        <w:tblLayout w:type="fixed"/>
        <w:tblCellMar>
          <w:top w:w="28" w:type="dxa"/>
          <w:left w:w="28" w:type="dxa"/>
          <w:bottom w:w="28" w:type="dxa"/>
          <w:right w:w="28" w:type="dxa"/>
        </w:tblCellMar>
      </w:tblPr>
      <w:tblGrid>
        <w:gridCol w:w="6361"/>
        <w:gridCol w:w="246"/>
        <w:gridCol w:w="146"/>
        <w:gridCol w:w="1036"/>
        <w:gridCol w:w="146"/>
        <w:gridCol w:w="146"/>
        <w:gridCol w:w="146"/>
        <w:gridCol w:w="1036"/>
        <w:gridCol w:w="291"/>
      </w:tblGrid>
      <w:tr>
        <w:trPr/>
        <w:tc>
          <w:tcPr>
            <w:tcW w:w="63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 performance stock units and restricted stock units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5,329,471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5,305,861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5,305,861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10,276,024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10,635,332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left"/>
        <w:rPr>
          <w:rFonts w:ascii="Times New Roman" w:hAnsi="Times New Roman"/>
          <w:i/>
          <w:color w:val="221F1F"/>
          <w:sz w:val="20"/>
        </w:rPr>
      </w:pPr>
      <w:r>
        <w:rPr>
          <w:rFonts w:ascii="Times New Roman" w:hAnsi="Times New Roman"/>
          <w:i/>
          <w:color w:val="221F1F"/>
          <w:sz w:val="20"/>
        </w:rPr>
        <w:t>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measures its financial assets and liabilities at fair value on a recurring basis using a hierarchy that prioritizes the inputs to valuation techniques used to measure fair value. Authoritative guidance establishes three levels of the fair value hierarchy as follows: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43"/>
        <w:gridCol w:w="9562"/>
      </w:tblGrid>
      <w:tr>
        <w:trPr/>
        <w:tc>
          <w:tcPr>
            <w:tcW w:w="643" w:type="dxa"/>
            <w:tcBorders/>
            <w:vAlign w:val="center"/>
          </w:tcPr>
          <w:p>
            <w:pPr>
              <w:pStyle w:val="TableContents"/>
              <w:bidi w:val="0"/>
              <w:spacing w:before="0" w:after="283"/>
              <w:jc w:val="left"/>
              <w:rPr>
                <w:sz w:val="4"/>
                <w:szCs w:val="4"/>
              </w:rPr>
            </w:pPr>
            <w:r>
              <w:rPr>
                <w:sz w:val="4"/>
                <w:szCs w:val="4"/>
              </w:rPr>
            </w:r>
          </w:p>
        </w:tc>
        <w:tc>
          <w:tcPr>
            <w:tcW w:w="9562" w:type="dxa"/>
            <w:tcBorders/>
            <w:vAlign w:val="center"/>
          </w:tcPr>
          <w:p>
            <w:pPr>
              <w:pStyle w:val="TableContents"/>
              <w:bidi w:val="0"/>
              <w:spacing w:before="0" w:after="283"/>
              <w:jc w:val="left"/>
              <w:rPr>
                <w:sz w:val="4"/>
                <w:szCs w:val="4"/>
              </w:rPr>
            </w:pPr>
            <w:r>
              <w:rPr>
                <w:sz w:val="4"/>
                <w:szCs w:val="4"/>
              </w:rPr>
            </w:r>
          </w:p>
        </w:tc>
      </w:tr>
      <w:tr>
        <w:trPr/>
        <w:tc>
          <w:tcPr>
            <w:tcW w:w="6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Level 1:</w:t>
            </w:r>
          </w:p>
        </w:tc>
        <w:tc>
          <w:tcPr>
            <w:tcW w:w="956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Quoted market prices in active markets for identical assets or liabilities; </w:t>
            </w:r>
          </w:p>
        </w:tc>
      </w:tr>
      <w:tr>
        <w:trPr/>
        <w:tc>
          <w:tcPr>
            <w:tcW w:w="643"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i/>
                <w:color w:val="000000"/>
                <w:sz w:val="20"/>
              </w:rPr>
            </w:pPr>
            <w:r>
              <w:rPr>
                <w:rFonts w:ascii="Times New Roman" w:hAnsi="Times New Roman"/>
                <w:i/>
                <w:color w:val="000000"/>
                <w:sz w:val="20"/>
              </w:rPr>
              <w:t>Level 2:</w:t>
            </w:r>
          </w:p>
        </w:tc>
        <w:tc>
          <w:tcPr>
            <w:tcW w:w="9562"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 xml:space="preserve">Quoted prices for similar instruments in active markets; quoted prices for identical or similar instruments in markets that are not active; and model-derived valuations in which significant inputs and significant value drivers are observable in active markets; and </w:t>
            </w:r>
          </w:p>
        </w:tc>
      </w:tr>
      <w:tr>
        <w:trPr/>
        <w:tc>
          <w:tcPr>
            <w:tcW w:w="643"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i/>
                <w:color w:val="000000"/>
                <w:sz w:val="20"/>
              </w:rPr>
            </w:pPr>
            <w:r>
              <w:rPr>
                <w:rFonts w:ascii="Times New Roman" w:hAnsi="Times New Roman"/>
                <w:i/>
                <w:color w:val="000000"/>
                <w:sz w:val="20"/>
              </w:rPr>
              <w:t>Level 3:</w:t>
            </w:r>
          </w:p>
        </w:tc>
        <w:tc>
          <w:tcPr>
            <w:tcW w:w="9562"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 xml:space="preserve">Fair value measurements derived from valuation techniques in which one or more significant inputs or significant value drivers are unobservable.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fair value hierarchy table presents information about the Company’s assets and liabilities measured at fair value on a recurring basis: </w:t>
      </w:r>
    </w:p>
    <w:p>
      <w:pPr>
        <w:pStyle w:val="TextBody"/>
        <w:bidi w:val="0"/>
        <w:jc w:val="left"/>
        <w:rPr/>
      </w:pPr>
      <w:r>
        <w:rPr/>
        <w:t> </w:t>
      </w:r>
    </w:p>
    <w:tbl>
      <w:tblPr>
        <w:tblW w:w="5811" w:type="dxa"/>
        <w:jc w:val="left"/>
        <w:tblInd w:w="0" w:type="dxa"/>
        <w:tblLayout w:type="fixed"/>
        <w:tblCellMar>
          <w:top w:w="28" w:type="dxa"/>
          <w:left w:w="28" w:type="dxa"/>
          <w:bottom w:w="28" w:type="dxa"/>
          <w:right w:w="28" w:type="dxa"/>
        </w:tblCellMar>
      </w:tblPr>
      <w:tblGrid>
        <w:gridCol w:w="2271"/>
        <w:gridCol w:w="146"/>
        <w:gridCol w:w="211"/>
        <w:gridCol w:w="571"/>
        <w:gridCol w:w="146"/>
        <w:gridCol w:w="146"/>
        <w:gridCol w:w="211"/>
        <w:gridCol w:w="676"/>
        <w:gridCol w:w="146"/>
        <w:gridCol w:w="146"/>
        <w:gridCol w:w="284"/>
        <w:gridCol w:w="466"/>
        <w:gridCol w:w="391"/>
      </w:tblGrid>
      <w:tr>
        <w:trPr/>
        <w:tc>
          <w:tcPr>
            <w:tcW w:w="2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 at</w:t>
              <w:br/>
              <w:t>reporting date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and nine months ended September 30, 2025, there were no transfers between Level 1, Level 2 and Level 3.</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following is a summary of the changes in fair value of the Company’s marketable securities as of September 30, 2025, and December 31, 2024, respectively:</w:t>
      </w:r>
    </w:p>
    <w:tbl>
      <w:tblPr>
        <w:tblW w:w="10205" w:type="dxa"/>
        <w:jc w:val="left"/>
        <w:tblInd w:w="0" w:type="dxa"/>
        <w:tblLayout w:type="fixed"/>
        <w:tblCellMar>
          <w:top w:w="28" w:type="dxa"/>
          <w:left w:w="28" w:type="dxa"/>
          <w:bottom w:w="28" w:type="dxa"/>
          <w:right w:w="28" w:type="dxa"/>
        </w:tblCellMar>
      </w:tblPr>
      <w:tblGrid>
        <w:gridCol w:w="4087"/>
        <w:gridCol w:w="146"/>
        <w:gridCol w:w="282"/>
        <w:gridCol w:w="906"/>
        <w:gridCol w:w="146"/>
        <w:gridCol w:w="146"/>
        <w:gridCol w:w="616"/>
        <w:gridCol w:w="616"/>
        <w:gridCol w:w="146"/>
        <w:gridCol w:w="146"/>
        <w:gridCol w:w="513"/>
        <w:gridCol w:w="661"/>
        <w:gridCol w:w="166"/>
        <w:gridCol w:w="146"/>
        <w:gridCol w:w="211"/>
        <w:gridCol w:w="676"/>
        <w:gridCol w:w="595"/>
      </w:tblGrid>
      <w:tr>
        <w:trPr/>
        <w:tc>
          <w:tcPr>
            <w:tcW w:w="4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40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15,816</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15,816</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112"/>
        <w:gridCol w:w="146"/>
        <w:gridCol w:w="321"/>
        <w:gridCol w:w="870"/>
        <w:gridCol w:w="146"/>
        <w:gridCol w:w="146"/>
        <w:gridCol w:w="467"/>
        <w:gridCol w:w="768"/>
        <w:gridCol w:w="146"/>
        <w:gridCol w:w="146"/>
        <w:gridCol w:w="445"/>
        <w:gridCol w:w="732"/>
        <w:gridCol w:w="166"/>
        <w:gridCol w:w="146"/>
        <w:gridCol w:w="229"/>
        <w:gridCol w:w="623"/>
        <w:gridCol w:w="596"/>
      </w:tblGrid>
      <w:tr>
        <w:trPr/>
        <w:tc>
          <w:tcPr>
            <w:tcW w:w="4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41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6,138</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8,156</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September 30, 2025, all available-for-sale marketable securities consisted of investments that mature within one year. </w:t>
      </w:r>
    </w:p>
    <w:p>
      <w:pPr>
        <w:pStyle w:val="TextBody"/>
        <w:bidi w:val="0"/>
        <w:spacing w:before="360" w:after="283"/>
        <w:jc w:val="left"/>
        <w:rPr>
          <w:rFonts w:ascii="Times New Roman" w:hAnsi="Times New Roman"/>
          <w:sz w:val="20"/>
        </w:rPr>
      </w:pPr>
      <w:r>
        <w:rPr>
          <w:rFonts w:ascii="Times New Roman" w:hAnsi="Times New Roman"/>
          <w:i/>
          <w:color w:val="000000"/>
          <w:sz w:val="20"/>
        </w:rPr>
        <w:t>Fair Value of Financial Instruments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carrying amounts of cash and cash equivalents, marketable securities, accounts receivable, accounts payable, and customer deposits approximate fair value due to their short-term nature. As of September 30, 2025, the fair value and carrying value of the Company’s Convertible Promissory Note (Note 7) was $48.2 million and $47.2 million, respectively. The estimated fair value for the Company’s Convertible Promissory Note was based on discounted expected future cash flows using prevailing interest rates which are Level 3 inputs under the fair value hierarchy.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Geographic Net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sells its products in the Americas (North and South America), EMEA (Europe, Middle East, and Africa), and APAC (Asia-Pacific) regions.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net revenue by major geographic region:</w:t>
      </w:r>
    </w:p>
    <w:p>
      <w:pPr>
        <w:pStyle w:val="TextBody"/>
        <w:bidi w:val="0"/>
        <w:jc w:val="left"/>
        <w:rPr/>
      </w:pPr>
      <w:r>
        <w:rPr/>
        <w:t> </w:t>
      </w:r>
    </w:p>
    <w:tbl>
      <w:tblPr>
        <w:tblW w:w="7451" w:type="dxa"/>
        <w:jc w:val="left"/>
        <w:tblInd w:w="0" w:type="dxa"/>
        <w:tblLayout w:type="fixed"/>
        <w:tblCellMar>
          <w:top w:w="28" w:type="dxa"/>
          <w:left w:w="28" w:type="dxa"/>
          <w:bottom w:w="28" w:type="dxa"/>
          <w:right w:w="28" w:type="dxa"/>
        </w:tblCellMar>
      </w:tblPr>
      <w:tblGrid>
        <w:gridCol w:w="1546"/>
        <w:gridCol w:w="146"/>
        <w:gridCol w:w="274"/>
        <w:gridCol w:w="878"/>
        <w:gridCol w:w="189"/>
        <w:gridCol w:w="189"/>
        <w:gridCol w:w="274"/>
        <w:gridCol w:w="878"/>
        <w:gridCol w:w="146"/>
        <w:gridCol w:w="146"/>
        <w:gridCol w:w="265"/>
        <w:gridCol w:w="849"/>
        <w:gridCol w:w="183"/>
        <w:gridCol w:w="183"/>
        <w:gridCol w:w="265"/>
        <w:gridCol w:w="849"/>
        <w:gridCol w:w="1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EMEA</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51,380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Americas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APAC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30,613</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73,507</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sz w:val="20"/>
        </w:rPr>
      </w:pPr>
      <w:r>
        <w:rPr>
          <w:rFonts w:ascii="Times New Roman" w:hAnsi="Times New Roman"/>
          <w:color w:val="000000"/>
          <w:sz w:val="16"/>
        </w:rPr>
        <w:t>Our net revenues generated from the Czech Republic, Germany, Italy and the United Kingdom represented 18.9%, 15.5%, 13.1%</w:t>
      </w:r>
      <w:r>
        <w:rPr>
          <w:rFonts w:ascii="Times New Roman" w:hAnsi="Times New Roman"/>
          <w:color w:val="000000"/>
          <w:sz w:val="20"/>
        </w:rPr>
        <w:t xml:space="preserve"> </w:t>
      </w:r>
      <w:r>
        <w:rPr>
          <w:rFonts w:ascii="Times New Roman" w:hAnsi="Times New Roman"/>
          <w:color w:val="000000"/>
          <w:sz w:val="16"/>
        </w:rPr>
        <w:t>and 12.7%</w:t>
      </w:r>
      <w:r>
        <w:rPr>
          <w:rFonts w:ascii="Times New Roman" w:hAnsi="Times New Roman"/>
          <w:color w:val="000000"/>
          <w:sz w:val="20"/>
        </w:rPr>
        <w:t xml:space="preserve"> </w:t>
      </w:r>
      <w:r>
        <w:rPr>
          <w:rFonts w:ascii="Times New Roman" w:hAnsi="Times New Roman"/>
          <w:color w:val="000000"/>
          <w:sz w:val="16"/>
        </w:rPr>
        <w:t>of our total net revenue for the three months ended September 30, 2025, respectively. Our net revenues generated from Germany, the Czech Republic, the United Kingdom, and Italy represented 17.7%, 17.3%, 12.1%, and 11.8%</w:t>
      </w:r>
      <w:r>
        <w:rPr>
          <w:rFonts w:ascii="Times New Roman" w:hAnsi="Times New Roman"/>
          <w:color w:val="000000"/>
          <w:sz w:val="20"/>
        </w:rPr>
        <w:t xml:space="preserve"> </w:t>
      </w:r>
      <w:r>
        <w:rPr>
          <w:rFonts w:ascii="Times New Roman" w:hAnsi="Times New Roman"/>
          <w:color w:val="000000"/>
          <w:sz w:val="16"/>
        </w:rPr>
        <w:t>of our total net revenue for the nine months ended September 30, 2025, respectively.</w:t>
      </w:r>
    </w:p>
    <w:p>
      <w:pPr>
        <w:pStyle w:val="TextBody"/>
        <w:bidi w:val="0"/>
        <w:spacing w:before="0" w:after="20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200"/>
        <w:jc w:val="both"/>
        <w:rPr>
          <w:rFonts w:ascii="Times New Roman" w:hAnsi="Times New Roman"/>
          <w:sz w:val="20"/>
        </w:rPr>
      </w:pPr>
      <w:r>
        <w:rPr>
          <w:rFonts w:ascii="Times New Roman" w:hAnsi="Times New Roman"/>
          <w:color w:val="000000"/>
          <w:sz w:val="16"/>
        </w:rPr>
        <w:t>Our net revenues generated from the United States represented 23.0%</w:t>
      </w:r>
      <w:r>
        <w:rPr>
          <w:rFonts w:ascii="Times New Roman" w:hAnsi="Times New Roman"/>
          <w:color w:val="000000"/>
          <w:sz w:val="20"/>
        </w:rPr>
        <w:t xml:space="preserve"> </w:t>
      </w:r>
      <w:r>
        <w:rPr>
          <w:rFonts w:ascii="Times New Roman" w:hAnsi="Times New Roman"/>
          <w:color w:val="000000"/>
          <w:sz w:val="16"/>
        </w:rPr>
        <w:t>and 20.9%</w:t>
      </w:r>
      <w:r>
        <w:rPr>
          <w:rFonts w:ascii="Times New Roman" w:hAnsi="Times New Roman"/>
          <w:color w:val="000000"/>
          <w:sz w:val="20"/>
        </w:rPr>
        <w:t xml:space="preserve"> </w:t>
      </w:r>
      <w:r>
        <w:rPr>
          <w:rFonts w:ascii="Times New Roman" w:hAnsi="Times New Roman"/>
          <w:color w:val="000000"/>
          <w:sz w:val="16"/>
        </w:rPr>
        <w:t xml:space="preserve">of our total net revenue for the three and nine months ended September 30, 2025, respectively.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Deferred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revenue or contract liabilities consists of payments received from customers in advance of revenue recognition for the Company’s products and service. The current portion of deferred revenue represents the unearned revenue that will be earned within 12 months of the balance sheet date. Correspondingly, noncurrent deferred revenue represents the unearned revenue that will be earned after 12 months from the balance sheet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changes in deferred revenue:</w:t>
      </w:r>
    </w:p>
    <w:p>
      <w:pPr>
        <w:pStyle w:val="TextBody"/>
        <w:bidi w:val="0"/>
        <w:jc w:val="both"/>
        <w:rPr/>
      </w:pPr>
      <w:r>
        <w:rPr/>
        <w:t> </w:t>
      </w:r>
    </w:p>
    <w:tbl>
      <w:tblPr>
        <w:tblW w:w="9186" w:type="dxa"/>
        <w:jc w:val="left"/>
        <w:tblInd w:w="0" w:type="dxa"/>
        <w:tblLayout w:type="fixed"/>
        <w:tblCellMar>
          <w:top w:w="28" w:type="dxa"/>
          <w:left w:w="28" w:type="dxa"/>
          <w:bottom w:w="28" w:type="dxa"/>
          <w:right w:w="28" w:type="dxa"/>
        </w:tblCellMar>
      </w:tblPr>
      <w:tblGrid>
        <w:gridCol w:w="3241"/>
        <w:gridCol w:w="146"/>
        <w:gridCol w:w="283"/>
        <w:gridCol w:w="849"/>
        <w:gridCol w:w="223"/>
        <w:gridCol w:w="196"/>
        <w:gridCol w:w="283"/>
        <w:gridCol w:w="849"/>
        <w:gridCol w:w="166"/>
        <w:gridCol w:w="146"/>
        <w:gridCol w:w="260"/>
        <w:gridCol w:w="909"/>
        <w:gridCol w:w="205"/>
        <w:gridCol w:w="180"/>
        <w:gridCol w:w="260"/>
        <w:gridCol w:w="779"/>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Deferral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Recognition of unearned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(3,965</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(12,421</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2025, the Company expects to recognize $1.9 million from remaining performance obligations over a weighted average term of 3.3 years. The Company recognized approximately $0.4 million and $1.0 million in revenue that was included in the beginning contract liabilities balance during the three and nine months ended September 30, 2025, respectively. The Company recognized approximately $0.1 million and $0.6 million in revenue that was included in the beginning contract liabilities balance during the three and nine months ended September 30, 2024, respectively.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Product Warranty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estimates the cost of its warranty obligations based on several key estimates: the warranty period (which vary from 5 to 25 years depending on the product), its historical experience of known product failure rates, use of materials to repair or replace defective products and parts, and service delivery costs incurred in correcting product failures. In addition, from time to time, specific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warranty accruals may be made if unforeseen technical problems arise. Should the actual experience relative to these factors differ from the estimates, the Company may be required to record additional warranty reserves. Product warranty costs are recorded as expense to cost of revenue based on customer history, historical information and current trends.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changes in product warranty liability:</w:t>
      </w:r>
    </w:p>
    <w:p>
      <w:pPr>
        <w:pStyle w:val="TextBody"/>
        <w:bidi w:val="0"/>
        <w:jc w:val="both"/>
        <w:rPr/>
      </w:pPr>
      <w:r>
        <w:rPr/>
        <w:t> </w:t>
      </w:r>
    </w:p>
    <w:tbl>
      <w:tblPr>
        <w:tblW w:w="9777" w:type="dxa"/>
        <w:jc w:val="left"/>
        <w:tblInd w:w="0" w:type="dxa"/>
        <w:tblLayout w:type="fixed"/>
        <w:tblCellMar>
          <w:top w:w="28" w:type="dxa"/>
          <w:left w:w="28" w:type="dxa"/>
          <w:bottom w:w="28" w:type="dxa"/>
          <w:right w:w="28" w:type="dxa"/>
        </w:tblCellMar>
      </w:tblPr>
      <w:tblGrid>
        <w:gridCol w:w="3731"/>
        <w:gridCol w:w="146"/>
        <w:gridCol w:w="302"/>
        <w:gridCol w:w="817"/>
        <w:gridCol w:w="237"/>
        <w:gridCol w:w="209"/>
        <w:gridCol w:w="302"/>
        <w:gridCol w:w="817"/>
        <w:gridCol w:w="166"/>
        <w:gridCol w:w="146"/>
        <w:gridCol w:w="291"/>
        <w:gridCol w:w="790"/>
        <w:gridCol w:w="229"/>
        <w:gridCol w:w="202"/>
        <w:gridCol w:w="291"/>
        <w:gridCol w:w="790"/>
        <w:gridCol w:w="311"/>
      </w:tblGrid>
      <w:tr>
        <w:trPr/>
        <w:tc>
          <w:tcPr>
            <w:tcW w:w="3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8,127</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warranty issued during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estimate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8,334</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8,334</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Supplementary Balance Sheet and Geographic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Selected financial data as of the dates presented below is as follows (in thousands, except useful life data):</w:t>
      </w:r>
    </w:p>
    <w:p>
      <w:pPr>
        <w:pStyle w:val="TextBody"/>
        <w:bidi w:val="0"/>
        <w:jc w:val="both"/>
        <w:rPr/>
      </w:pPr>
      <w:r>
        <w:rPr/>
        <w:t> </w:t>
      </w:r>
    </w:p>
    <w:tbl>
      <w:tblPr>
        <w:tblW w:w="4530" w:type="dxa"/>
        <w:jc w:val="left"/>
        <w:tblInd w:w="0" w:type="dxa"/>
        <w:tblLayout w:type="fixed"/>
        <w:tblCellMar>
          <w:top w:w="28" w:type="dxa"/>
          <w:left w:w="28" w:type="dxa"/>
          <w:bottom w:w="28" w:type="dxa"/>
          <w:right w:w="28" w:type="dxa"/>
        </w:tblCellMar>
      </w:tblPr>
      <w:tblGrid>
        <w:gridCol w:w="1466"/>
        <w:gridCol w:w="146"/>
        <w:gridCol w:w="271"/>
        <w:gridCol w:w="869"/>
        <w:gridCol w:w="146"/>
        <w:gridCol w:w="146"/>
        <w:gridCol w:w="260"/>
        <w:gridCol w:w="835"/>
        <w:gridCol w:w="391"/>
      </w:tblGrid>
      <w:tr>
        <w:trPr/>
        <w:tc>
          <w:tcPr>
            <w:tcW w:w="1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Inventory,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inventory reserve was $15.2 million and $24.1 million as of September 30, 2025, and December 31, 2024, respectively.</w:t>
      </w:r>
    </w:p>
    <w:tbl>
      <w:tblPr>
        <w:tblW w:w="7692" w:type="dxa"/>
        <w:jc w:val="left"/>
        <w:tblInd w:w="0" w:type="dxa"/>
        <w:tblLayout w:type="fixed"/>
        <w:tblCellMar>
          <w:top w:w="28" w:type="dxa"/>
          <w:left w:w="28" w:type="dxa"/>
          <w:bottom w:w="28" w:type="dxa"/>
          <w:right w:w="28" w:type="dxa"/>
        </w:tblCellMar>
      </w:tblPr>
      <w:tblGrid>
        <w:gridCol w:w="2831"/>
        <w:gridCol w:w="146"/>
        <w:gridCol w:w="1651"/>
        <w:gridCol w:w="146"/>
        <w:gridCol w:w="307"/>
        <w:gridCol w:w="833"/>
        <w:gridCol w:w="146"/>
        <w:gridCol w:w="146"/>
        <w:gridCol w:w="294"/>
        <w:gridCol w:w="801"/>
        <w:gridCol w:w="391"/>
      </w:tblGrid>
      <w:tr>
        <w:trPr/>
        <w:tc>
          <w:tcPr>
            <w:tcW w:w="2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Property and equipment,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7 - 25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Vehicles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Computer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3 - 6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three and nine months ended September 30, 2025, the Company recorded depreciation expense of $0.2 million and $0.7 million, respectively. For the three and nine months ended September 30, 2024, the Company recorded depreciation expense of $0.2 million and $0.7 million, respectively. Depreciation expense is recorded in the condensed consolidated statements of operations and comprehensive loss. </w:t>
      </w:r>
    </w:p>
    <w:p>
      <w:pPr>
        <w:pStyle w:val="TextBody"/>
        <w:bidi w:val="0"/>
        <w:jc w:val="both"/>
        <w:rPr/>
      </w:pPr>
      <w:r>
        <w:rPr/>
        <w:t> </w:t>
      </w:r>
    </w:p>
    <w:tbl>
      <w:tblPr>
        <w:tblW w:w="7090" w:type="dxa"/>
        <w:jc w:val="left"/>
        <w:tblInd w:w="0" w:type="dxa"/>
        <w:tblLayout w:type="fixed"/>
        <w:tblCellMar>
          <w:top w:w="28" w:type="dxa"/>
          <w:left w:w="28" w:type="dxa"/>
          <w:bottom w:w="28" w:type="dxa"/>
          <w:right w:w="28" w:type="dxa"/>
        </w:tblCellMar>
      </w:tblPr>
      <w:tblGrid>
        <w:gridCol w:w="4026"/>
        <w:gridCol w:w="146"/>
        <w:gridCol w:w="307"/>
        <w:gridCol w:w="833"/>
        <w:gridCol w:w="146"/>
        <w:gridCol w:w="146"/>
        <w:gridCol w:w="294"/>
        <w:gridCol w:w="801"/>
        <w:gridCol w:w="391"/>
      </w:tblGrid>
      <w:tr>
        <w:trPr/>
        <w:tc>
          <w:tcPr>
            <w:tcW w:w="4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Accrued expenses and other current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vacation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warehouse and freight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Accrued other</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200"/>
        <w:jc w:val="both"/>
        <w:rPr>
          <w:rFonts w:ascii="Times New Roman" w:hAnsi="Times New Roman"/>
          <w:color w:val="000000"/>
          <w:sz w:val="16"/>
        </w:rPr>
      </w:pPr>
      <w:r>
        <w:rPr>
          <w:rFonts w:ascii="Times New Roman" w:hAnsi="Times New Roman"/>
          <w:color w:val="000000"/>
          <w:sz w:val="16"/>
        </w:rPr>
        <w:t>Accrued other as of September 30, 2025, and December 31, 2024, primarily consist of accrued expenses related to income tax expense, legal expense, insurance expense and sales discounts.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tbl>
      <w:tblPr>
        <w:tblW w:w="6905" w:type="dxa"/>
        <w:jc w:val="left"/>
        <w:tblInd w:w="0" w:type="dxa"/>
        <w:tblLayout w:type="fixed"/>
        <w:tblCellMar>
          <w:top w:w="28" w:type="dxa"/>
          <w:left w:w="28" w:type="dxa"/>
          <w:bottom w:w="28" w:type="dxa"/>
          <w:right w:w="28" w:type="dxa"/>
        </w:tblCellMar>
      </w:tblPr>
      <w:tblGrid>
        <w:gridCol w:w="3901"/>
        <w:gridCol w:w="146"/>
        <w:gridCol w:w="285"/>
        <w:gridCol w:w="855"/>
        <w:gridCol w:w="166"/>
        <w:gridCol w:w="146"/>
        <w:gridCol w:w="274"/>
        <w:gridCol w:w="821"/>
        <w:gridCol w:w="31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Allowance for 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charges to recovery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Write-offs, net of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120"/>
        <w:jc w:val="left"/>
        <w:rPr>
          <w:rFonts w:ascii="Times New Roman" w:hAnsi="Times New Roman"/>
          <w:i/>
          <w:color w:val="000000"/>
          <w:sz w:val="20"/>
        </w:rPr>
      </w:pPr>
      <w:r>
        <w:rPr>
          <w:rFonts w:ascii="Times New Roman" w:hAnsi="Times New Roman"/>
          <w:i/>
          <w:color w:val="000000"/>
          <w:sz w:val="20"/>
        </w:rPr>
        <w:t>Long-lived assets by Geographic Region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presents the Company’s long-lived assets, which consist of tangible property and equipment, net of depreciation, and operating ROU assets, by geographic region (in thousands):</w:t>
      </w:r>
    </w:p>
    <w:tbl>
      <w:tblPr>
        <w:tblW w:w="5230" w:type="dxa"/>
        <w:jc w:val="left"/>
        <w:tblInd w:w="0" w:type="dxa"/>
        <w:tblLayout w:type="fixed"/>
        <w:tblCellMar>
          <w:top w:w="28" w:type="dxa"/>
          <w:left w:w="28" w:type="dxa"/>
          <w:bottom w:w="28" w:type="dxa"/>
          <w:right w:w="28" w:type="dxa"/>
        </w:tblCellMar>
      </w:tblPr>
      <w:tblGrid>
        <w:gridCol w:w="2166"/>
        <w:gridCol w:w="346"/>
        <w:gridCol w:w="307"/>
        <w:gridCol w:w="833"/>
        <w:gridCol w:w="146"/>
        <w:gridCol w:w="146"/>
        <w:gridCol w:w="294"/>
        <w:gridCol w:w="801"/>
        <w:gridCol w:w="191"/>
      </w:tblGrid>
      <w:tr>
        <w:trPr/>
        <w:tc>
          <w:tcPr>
            <w:tcW w:w="2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Long-lived assets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EMEA</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Americas</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APAC</w:t>
            </w:r>
            <w:r>
              <w:rPr>
                <w:rFonts w:ascii="Times New Roman" w:hAnsi="Times New Roman"/>
                <w:color w:val="000000"/>
                <w:sz w:val="13"/>
              </w:rPr>
              <w:t>(3)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long-lived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sz w:val="20"/>
        </w:rPr>
      </w:pPr>
      <w:r>
        <w:rPr>
          <w:rFonts w:ascii="Times New Roman" w:hAnsi="Times New Roman"/>
          <w:color w:val="000000"/>
          <w:sz w:val="16"/>
        </w:rPr>
        <w:t>As of September 30, 2025, and December 31, 2024, 19.6%</w:t>
      </w:r>
      <w:r>
        <w:rPr>
          <w:rFonts w:ascii="Times New Roman" w:hAnsi="Times New Roman"/>
          <w:color w:val="000000"/>
          <w:sz w:val="20"/>
        </w:rPr>
        <w:t xml:space="preserve"> </w:t>
      </w:r>
      <w:r>
        <w:rPr>
          <w:rFonts w:ascii="Times New Roman" w:hAnsi="Times New Roman"/>
          <w:color w:val="000000"/>
          <w:sz w:val="16"/>
        </w:rPr>
        <w:t>and 26.6%</w:t>
      </w:r>
      <w:r>
        <w:rPr>
          <w:rFonts w:ascii="Times New Roman" w:hAnsi="Times New Roman"/>
          <w:color w:val="000000"/>
          <w:sz w:val="20"/>
        </w:rPr>
        <w:t xml:space="preserve"> </w:t>
      </w:r>
      <w:r>
        <w:rPr>
          <w:rFonts w:ascii="Times New Roman" w:hAnsi="Times New Roman"/>
          <w:color w:val="000000"/>
          <w:sz w:val="16"/>
        </w:rPr>
        <w:t xml:space="preserve">of the Company’s total long-lived assets were located in Israel, respectively.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sz w:val="20"/>
        </w:rPr>
      </w:pPr>
      <w:r>
        <w:rPr>
          <w:rFonts w:ascii="Times New Roman" w:hAnsi="Times New Roman"/>
          <w:color w:val="000000"/>
          <w:sz w:val="16"/>
        </w:rPr>
        <w:t>As of September 30, 2025, and December 31, 2024, 42.4%</w:t>
      </w:r>
      <w:r>
        <w:rPr>
          <w:rFonts w:ascii="Times New Roman" w:hAnsi="Times New Roman"/>
          <w:color w:val="000000"/>
          <w:sz w:val="20"/>
        </w:rPr>
        <w:t xml:space="preserve"> </w:t>
      </w:r>
      <w:r>
        <w:rPr>
          <w:rFonts w:ascii="Times New Roman" w:hAnsi="Times New Roman"/>
          <w:color w:val="000000"/>
          <w:sz w:val="16"/>
        </w:rPr>
        <w:t>and 16.4%</w:t>
      </w:r>
      <w:r>
        <w:rPr>
          <w:rFonts w:ascii="Times New Roman" w:hAnsi="Times New Roman"/>
          <w:color w:val="000000"/>
          <w:sz w:val="20"/>
        </w:rPr>
        <w:t xml:space="preserve"> </w:t>
      </w:r>
      <w:r>
        <w:rPr>
          <w:rFonts w:ascii="Times New Roman" w:hAnsi="Times New Roman"/>
          <w:color w:val="000000"/>
          <w:sz w:val="16"/>
        </w:rPr>
        <w:t xml:space="preserve">of the Company’s total long-lived assets were located in the U.S., respectively.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pPr>
      <w:r>
        <w:rPr>
          <w:rFonts w:ascii="Times New Roman" w:hAnsi="Times New Roman"/>
          <w:color w:val="000000"/>
          <w:sz w:val="16"/>
        </w:rPr>
        <w:t>As of September 30, 2025, 23.4% of the Company’s total long-lived assets were located in Thailand. As of December 31, 2024, 35.5% and 13.0% of the Company’s total long-lived assets were located in Thailand and China, respectively.</w:t>
      </w:r>
      <w:r>
        <w:rPr>
          <w:color w:val="000000"/>
        </w:rPr>
        <w:t xml:space="preserv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debt consisted of the following (in thousands):</w:t>
      </w:r>
    </w:p>
    <w:p>
      <w:pPr>
        <w:pStyle w:val="TextBody"/>
        <w:bidi w:val="0"/>
        <w:jc w:val="both"/>
        <w:rPr/>
      </w:pPr>
      <w:r>
        <w:rPr/>
        <w:t> </w:t>
      </w:r>
    </w:p>
    <w:tbl>
      <w:tblPr>
        <w:tblW w:w="9490" w:type="dxa"/>
        <w:jc w:val="left"/>
        <w:tblInd w:w="0" w:type="dxa"/>
        <w:tblLayout w:type="fixed"/>
        <w:tblCellMar>
          <w:top w:w="28" w:type="dxa"/>
          <w:left w:w="28" w:type="dxa"/>
          <w:bottom w:w="28" w:type="dxa"/>
          <w:right w:w="28" w:type="dxa"/>
        </w:tblCellMar>
      </w:tblPr>
      <w:tblGrid>
        <w:gridCol w:w="6286"/>
        <w:gridCol w:w="146"/>
        <w:gridCol w:w="254"/>
        <w:gridCol w:w="886"/>
        <w:gridCol w:w="166"/>
        <w:gridCol w:w="146"/>
        <w:gridCol w:w="260"/>
        <w:gridCol w:w="835"/>
        <w:gridCol w:w="511"/>
      </w:tblGrid>
      <w:tr>
        <w:trPr/>
        <w:tc>
          <w:tcPr>
            <w:tcW w:w="6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Less: short-term debt, net of unamortized debt discount and issuance costs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discount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Long-term debt, net of unamortized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40,511</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On January 9, 2025, the Convertible Promissory Note was reclassified from non-current liabilities to current liabilities as the maturity date falls within the twelve months of the reporting date. As of September 30, 2025, the outstanding balance of the Convertible Promissory Note is presented within current liabilities as “Short-term debt, net of unamortized debt discount and issuance costs.”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Convertible Promissory Notes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9, 2023, the Company entered into the Note Purchase Agreement (“Note Purchase Agreement”) with L1 Energy Capital Management S.a.r.l. (“L1 Energy”) pursuant to which the Company issued the Convertible Promissory Note in the aggregate principal amount of $50.0 million (the “Convertible Promissory Note”). Outstanding borrowings under the Convertible Promissory Note bears interest at a rate of 5.0% per year. The principal amount of the Convertible Promissory Note is due at the maturity date of January 9, 2026, and interest is payable semiannually. As of September 30, 2025, there was $0.6 million of accrued interest in the condensed consolidated balance sheet.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terms of the Note Purchase Agreement, the Convertible Promissory Note may be converted at the option of the note holder into the Company’s common stock or an equivalent equity instrument resulting from a public company event. The conversion price is based on a pre-money valuation divided by the aggregate number of the Company’s outstanding shares at the issuance date and adjusted for any cash dividends paid on the Company’s capital stock. The conversion price and number of conversion shares are subject to standard anti-dilution adjustments. Upon a change of control event the note holder may (i) convert the Convertible Promissory Note immediately prior to the event into the Company’s common stock at a conversion price equal to the lesser of the Convertible Promissory Note’s original conversion price or the price per share of the Company’s common stock implied by the change of control event transaction agreement or (ii) require the redemption of the Convertible Promissory Note in cash, including the payment of a make-whole amount of all unpaid interest that would have otherwise been payable had the Convertible Promissory Note remained outstanding through the maturity date. The Company’s obligations under the Note Purchase Agreement may be accelerated, subject to customary grace and cure periods, upon the occurrence of an event of default. The Note Purchase Agreement defines events of default as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occurrence of any one of the following; 1) a default in payment of any part of principal or unpaid accrued interest on the Convertible Promissory Note when due and payable; 2) the Company issues a written statement that it is unable to pay its debts as they become due, or the Company files a voluntary petition for bankruptcy or insolvency proceeding, the Company, or its directors or majority shareholders take action looking to the dissolution or liquidation of the Company; 3) the involuntary bankruptcy of the Company defined as the commencement of any proceeding against the Company seeking any bankruptcy reorganization; 4) the Company defaults on any of its performance obligations under the Note Purchase Agreement; 5) any material portion of the assets of the Company or any subsidiary of the Company is seized or a levy is filed against such assets; 6) a default that remains uncured on any other agreement evidencing the indebtedness of the Company or its subsidiaries for an amount of $10 million or more whose terms allow for the acceleration of the repayment of such indebtedness due to the consummation of the transactions contemplated in this Note Purchase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Future aggregate principal maturities of debt are as follows as of September 30, 2025 (in thousands):</w:t>
      </w:r>
    </w:p>
    <w:p>
      <w:pPr>
        <w:pStyle w:val="TextBody"/>
        <w:bidi w:val="0"/>
        <w:jc w:val="both"/>
        <w:rPr/>
      </w:pPr>
      <w:r>
        <w:rPr/>
        <w:t> </w:t>
      </w:r>
    </w:p>
    <w:tbl>
      <w:tblPr>
        <w:tblW w:w="2905" w:type="dxa"/>
        <w:jc w:val="left"/>
        <w:tblInd w:w="0" w:type="dxa"/>
        <w:tblLayout w:type="fixed"/>
        <w:tblCellMar>
          <w:top w:w="28" w:type="dxa"/>
          <w:left w:w="28" w:type="dxa"/>
          <w:bottom w:w="28" w:type="dxa"/>
          <w:right w:w="28" w:type="dxa"/>
        </w:tblCellMar>
      </w:tblPr>
      <w:tblGrid>
        <w:gridCol w:w="1681"/>
        <w:gridCol w:w="146"/>
        <w:gridCol w:w="211"/>
        <w:gridCol w:w="67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sz w:val="20"/>
        </w:rPr>
      </w:pPr>
      <w:r>
        <w:rPr>
          <w:rFonts w:ascii="Times New Roman" w:hAnsi="Times New Roman"/>
          <w:i/>
          <w:color w:val="000000"/>
          <w:sz w:val="20"/>
        </w:rPr>
        <w:t>Employment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entered into employment agreements with key personnel providing compensation and severance in certain circumstances, as defined in the respective employment agreements. </w:t>
      </w:r>
    </w:p>
    <w:p>
      <w:pPr>
        <w:pStyle w:val="TextBody"/>
        <w:bidi w:val="0"/>
        <w:spacing w:before="360" w:after="283"/>
        <w:jc w:val="both"/>
        <w:rPr>
          <w:rFonts w:ascii="Times New Roman" w:hAnsi="Times New Roman"/>
          <w:sz w:val="20"/>
        </w:rPr>
      </w:pPr>
      <w:r>
        <w:rPr>
          <w:rFonts w:ascii="Times New Roman" w:hAnsi="Times New Roman"/>
          <w:i/>
          <w:color w:val="000000"/>
          <w:sz w:val="20"/>
        </w:rPr>
        <w:t>Legal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normal course of business, the Company may become involved in litigation or legal disputes that are not covered by insurance. While the Company intends to vigorously defend itself with respect to such disputes, any potential outcomes resulting from such claims would be inherently difficult to quantify. The Company makes a provision for a liability relating to legal matters when it is both probable that a liability has been incurred, and the amount of the loss can be reasonably estimated. During the three and nine months ended September 30, 2025, the Company did not record a material loss with respect to any legal claims or other legal matters arising in the normal course of business.</w:t>
      </w:r>
    </w:p>
    <w:p>
      <w:pPr>
        <w:pStyle w:val="TextBody"/>
        <w:bidi w:val="0"/>
        <w:spacing w:before="360" w:after="283"/>
        <w:jc w:val="both"/>
        <w:rPr>
          <w:rFonts w:ascii="Times New Roman" w:hAnsi="Times New Roman"/>
          <w:sz w:val="20"/>
        </w:rPr>
      </w:pPr>
      <w:r>
        <w:rPr>
          <w:rFonts w:ascii="Times New Roman" w:hAnsi="Times New Roman"/>
          <w:i/>
          <w:color w:val="000000"/>
          <w:sz w:val="20"/>
        </w:rPr>
        <w:t>Indemnification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third-party claims or a breach of representation or covenant. It may not be possible to determine the maximum potential amount of liability under such indemnification agreements due to the unique facts and circumstances that are likely to be involved in each particular claim and indemnification provision. In addition, we believe the likelihood is remote that payments under any indemnification agreements described above will have a material effect on the Company’s condensed consolidated financial statements.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also indemnified its Directors and Executive Officers, to the extent legally permissible, against all liabilities reasonably incurred in connection with any action in which such individual may be involved by reason of such individual being or having been a Director or Executive Officer.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believes the current estimated fair value of any obligation from these indemnification agreements is minimal; therefore, these condensed consolidated financial statements do not include a liability for potential indemnification-related obligations at September 30,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Common and Preferred Stock</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Common and 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authorized to issue 150,000,000 shares of Common Stock. Each share of Common Stock entitles the holder to one vote on all matters submitted to a vote of the Company’s stockholders.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is authorized to issue 10,000,000 shares of Preferred Stock. As of September 30, 2025, there was no Preferred Stock outstanding.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Common Stock Reserved for Future Issuance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Shares of Common Stock reserved for future issuance were as follows:</w:t>
      </w:r>
    </w:p>
    <w:p>
      <w:pPr>
        <w:pStyle w:val="TextBody"/>
        <w:bidi w:val="0"/>
        <w:jc w:val="both"/>
        <w:rPr/>
      </w:pPr>
      <w:r>
        <w:rPr/>
        <w:t> </w:t>
      </w:r>
    </w:p>
    <w:tbl>
      <w:tblPr>
        <w:tblW w:w="7773" w:type="dxa"/>
        <w:jc w:val="left"/>
        <w:tblInd w:w="0" w:type="dxa"/>
        <w:tblLayout w:type="fixed"/>
        <w:tblCellMar>
          <w:top w:w="28" w:type="dxa"/>
          <w:left w:w="28" w:type="dxa"/>
          <w:bottom w:w="28" w:type="dxa"/>
          <w:right w:w="28" w:type="dxa"/>
        </w:tblCellMar>
      </w:tblPr>
      <w:tblGrid>
        <w:gridCol w:w="5371"/>
        <w:gridCol w:w="146"/>
        <w:gridCol w:w="242"/>
        <w:gridCol w:w="1723"/>
        <w:gridCol w:w="291"/>
      </w:tblGrid>
      <w:tr>
        <w:trPr/>
        <w:tc>
          <w:tcPr>
            <w:tcW w:w="5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4,771,142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3,566,373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stock units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1,760,048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potential conversion of L1 Convertible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5,305,861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grant under 2023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1,602,413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17,005,837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At-The-Market Offering Program</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In November 2024, we entered into an At-The-Market Offering Agreement (the “ATM Agreement”) with Craig-Hallum Capital Group LLC (the “Sales Agent”), allowing for the sale of common stock with an aggregate gross offering price of up to $14.2 million (the “2024 ATM Program”). Under the ATM Agreement, the Sales Agent may sell shares in an “at-the-market” offering under Rule 415(a)(4) of the Securities Act, including sales on Nasdaq or other trading markets, to or through market makers, directly to the Sales Agent as principal, or in negotiated transactions at prevailing market prices. The offering of Shares pursuant to the ATM Agreement will terminate upon (a) five business days’ advance notice from the Company to the Sales Agent or five business days’ advance notice from the Sales Agent to the Company or (b) otherwise by mutual agreement of the parties pursuant to the terms of the ATM Agreement. Sales under the 2024 ATM Program are subject to a maximum commission of up to 3.0% of the gross proceeds per share sold through the Sales Agent. </w:t>
      </w:r>
    </w:p>
    <w:p>
      <w:pPr>
        <w:pStyle w:val="TextBody"/>
        <w:bidi w:val="0"/>
        <w:spacing w:before="80" w:after="200"/>
        <w:jc w:val="both"/>
        <w:rPr>
          <w:rFonts w:ascii="Times New Roman" w:hAnsi="Times New Roman"/>
          <w:color w:val="000000"/>
          <w:sz w:val="20"/>
        </w:rPr>
      </w:pPr>
      <w:r>
        <w:rPr>
          <w:rFonts w:ascii="Times New Roman" w:hAnsi="Times New Roman"/>
          <w:color w:val="000000"/>
          <w:sz w:val="20"/>
        </w:rPr>
        <w:t>The following is a summary of the shares issued under our 2024 ATM Program during the nine months ended September 30, 2025 (in thousands except shares issued and average price per share):</w:t>
      </w:r>
    </w:p>
    <w:tbl>
      <w:tblPr>
        <w:tblW w:w="8621" w:type="dxa"/>
        <w:jc w:val="left"/>
        <w:tblInd w:w="0" w:type="dxa"/>
        <w:tblLayout w:type="fixed"/>
        <w:tblCellMar>
          <w:top w:w="28" w:type="dxa"/>
          <w:left w:w="28" w:type="dxa"/>
          <w:bottom w:w="28" w:type="dxa"/>
          <w:right w:w="28" w:type="dxa"/>
        </w:tblCellMar>
      </w:tblPr>
      <w:tblGrid>
        <w:gridCol w:w="1741"/>
        <w:gridCol w:w="146"/>
        <w:gridCol w:w="146"/>
        <w:gridCol w:w="931"/>
        <w:gridCol w:w="146"/>
        <w:gridCol w:w="146"/>
        <w:gridCol w:w="722"/>
        <w:gridCol w:w="1603"/>
        <w:gridCol w:w="146"/>
        <w:gridCol w:w="146"/>
        <w:gridCol w:w="289"/>
        <w:gridCol w:w="926"/>
        <w:gridCol w:w="146"/>
        <w:gridCol w:w="146"/>
        <w:gridCol w:w="250"/>
        <w:gridCol w:w="800"/>
        <w:gridCol w:w="19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Net Price Per Share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Proceeds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Proceeds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7,472,428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Represents the average price per share after commission.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adopted the 2008 Stock Plan (“2008 Plan”) under which it may issue stock options to purchase shares of common stock, and award restricted stock and stock appreciation rights to employees, Directors and consultants. The 2008 Plan expired in March 2018 and all award issuance therefore ceased. Options generally vest over a four-year period with a one-year cliff. The option term is no longer than five years for incentive stock options for which the grantee owns greater than 10% of the Company’s capital stock and no longer than 10 years for all other options. The Company has a repurchase option on unvested restricted stock exercisable upon the voluntary or involuntary termination of the purchaser’s employment with the Company for any reason. The Company’s repurchase right lapses in accordance with the vesting terms. Options outstanding under the 2008 Plan will remain outstanding until they are exercised, canceled or expired.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2018, the Company adopted the 2018 Stock Plan (“2018 Plan”) under which the Company may issue stock options to purchase shares of common stock, and award restricted stock and stock appreciation rights to employees, Directors and consultants.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2018 Plan, the Board of Directors may grant incentive stock options or non-qualified stock options. Incentive stock options may only be granted to Company employees. The 2018 Plan expired in May 2023 and all award issuance therefore ceased.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exercise price of incentive stock options and non-qualified stock options cannot be less than 100% of the fair value per share of the Company’s common stock on the grant date. If an individual owns more than 10% of the Company’s outstanding capital stock, the price of each share incentive stock option will be at least 110% of the fair value. Fair value was determined by the Board of Directors. Options generally vest over a four-year period with a one-year cliff. The option term is no longer than five years for incentive stock options for which the grantee owns greater than 10% of the Company’s capital stock and no longer than 10 years for all other options. The Company has a repurchase option on unvested restricted stock exercisable upon the voluntary or involuntary termination of the purchaser’s employment with the Company for any reason. The Company’s repurchase right lapses in accordance with the vesting terms. Options outstanding under the 2018 Plan will remain outstanding until they are exercised, canceled or expire.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2023, the Company adopted the 2023 Equity Incentive Plan (“2023 Plan”) under which the Company may issue stock options to purchase shares of common stock, award restricted stock, restricted stock units (“RSU”), performance stock units (“PSUs”), dividend equivalents, stock appreciation rights, and other stock-based or cash-based awards to employees, Directors and consultants.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Stock options granted to newly hired employees generally vest over a four-year period, following the date of grant, with 25% vesting on the first anniversary of the grant date and the remaining vesting in equal monthly installments thereafter, and grants of additional stock options to employees generally vest in equal monthly installments over a four-year period with no cliff vesting. As of September 30, 2025, 628,645 stock options granted under the 2023 Plan had vested and were exercisable. There have been 1,258 stock options exercised under the 2023 Plan. The RSUs generally vest over a three-year period, following the date of grant, with a third of the award vesting on each year on the annual anniversary of the grant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Collectively, the 2008 Stock Plan, 2018 Stock Plan and the 2023 Equity Incentive Plan are referred to as “the Plans”.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measures stock-based awards at their grant-date fair value and records compensation expense on a straight-line basis over the vesting period of the awards. The Company also measures the PSU awards at their grant-date fair value and assumes that performance goals will be achieved. If the performance goals are not met, no compensation expense is recognized and any recognized compensation expense is reversed. The Company recorded stock-based compensation expense in the following expense categories in its accompanying condensed consolidated statements of operations and comprehensive loss: </w:t>
      </w:r>
    </w:p>
    <w:p>
      <w:pPr>
        <w:pStyle w:val="TextBody"/>
        <w:bidi w:val="0"/>
        <w:jc w:val="both"/>
        <w:rPr/>
      </w:pPr>
      <w:r>
        <w:rPr/>
        <w:t> </w:t>
      </w:r>
    </w:p>
    <w:tbl>
      <w:tblPr>
        <w:tblW w:w="9653" w:type="dxa"/>
        <w:jc w:val="left"/>
        <w:tblInd w:w="0" w:type="dxa"/>
        <w:tblLayout w:type="fixed"/>
        <w:tblCellMar>
          <w:top w:w="28" w:type="dxa"/>
          <w:left w:w="28" w:type="dxa"/>
          <w:bottom w:w="28" w:type="dxa"/>
          <w:right w:w="28" w:type="dxa"/>
        </w:tblCellMar>
      </w:tblPr>
      <w:tblGrid>
        <w:gridCol w:w="2946"/>
        <w:gridCol w:w="346"/>
        <w:gridCol w:w="305"/>
        <w:gridCol w:w="826"/>
        <w:gridCol w:w="211"/>
        <w:gridCol w:w="211"/>
        <w:gridCol w:w="305"/>
        <w:gridCol w:w="826"/>
        <w:gridCol w:w="346"/>
        <w:gridCol w:w="346"/>
        <w:gridCol w:w="295"/>
        <w:gridCol w:w="798"/>
        <w:gridCol w:w="204"/>
        <w:gridCol w:w="204"/>
        <w:gridCol w:w="295"/>
        <w:gridCol w:w="798"/>
        <w:gridCol w:w="391"/>
      </w:tblGrid>
      <w:tr>
        <w:trPr/>
        <w:tc>
          <w:tcPr>
            <w:tcW w:w="29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5,782</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Option Exchange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12, 2024, the Company commenced an offer to certain eligible employees and directors the opportunity to exchange certain outstanding options to purchase shares of common stock, for new options (“Replacement Options”) to purchase a number of shares of our common stock (the “Option Exchange”). The Option Exchange expired at 11:59 P.M. Eastern Time on December 10, 2024. Pursuant to the terms and conditions of the Option Exchange, the Company accepted for exchange eligible options to purchase an aggregate of 725,028 shares of common stock, representing approximately 96.6% of the total shares of common stock underlying such eligible options. All surrendered options were cancelled effective as of the expiration of the Option Exchange. Effective promptly following the expiration of the Option Exchange, the Company granted Replacement Options to purchase an aggregate of 181,107 shares of common stock under the 2023 Equity Incentive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did not recognize additional stock-based compensation expense as a result of the Option Exchange.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stock option activity for the Plans for the nine months ended September 30, 2025: </w:t>
      </w:r>
    </w:p>
    <w:p>
      <w:pPr>
        <w:pStyle w:val="TextBody"/>
        <w:bidi w:val="0"/>
        <w:jc w:val="both"/>
        <w:rPr/>
      </w:pPr>
      <w:r>
        <w:rPr/>
        <w:t> </w:t>
      </w:r>
    </w:p>
    <w:tbl>
      <w:tblPr>
        <w:tblW w:w="10151" w:type="dxa"/>
        <w:jc w:val="left"/>
        <w:tblInd w:w="0" w:type="dxa"/>
        <w:tblLayout w:type="fixed"/>
        <w:tblCellMar>
          <w:top w:w="28" w:type="dxa"/>
          <w:left w:w="28" w:type="dxa"/>
          <w:bottom w:w="28" w:type="dxa"/>
          <w:right w:w="28" w:type="dxa"/>
        </w:tblCellMar>
      </w:tblPr>
      <w:tblGrid>
        <w:gridCol w:w="2986"/>
        <w:gridCol w:w="146"/>
        <w:gridCol w:w="146"/>
        <w:gridCol w:w="931"/>
        <w:gridCol w:w="166"/>
        <w:gridCol w:w="146"/>
        <w:gridCol w:w="336"/>
        <w:gridCol w:w="744"/>
        <w:gridCol w:w="146"/>
        <w:gridCol w:w="146"/>
        <w:gridCol w:w="239"/>
        <w:gridCol w:w="766"/>
        <w:gridCol w:w="146"/>
        <w:gridCol w:w="146"/>
        <w:gridCol w:w="720"/>
        <w:gridCol w:w="1950"/>
        <w:gridCol w:w="2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 (in 000’s)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4,771,142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2,770,503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September 30, 2025, the total unrecognized compensation expense related to unvested stock option awards was $4.6 million, which the Company expects to recognize over a weighted-average period of 2.4 years. There were no options granted during the three and nine months ended September 30, 2025, and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options is estimated using the Black-Scholes option pricing model, which takes into account inputs such as the exercise price, the value of the underlying common stock at the grant date, expected term, expected volatility, risk-free interest rate and dividend yield. The fair value of each grant of options was determined using the methods and assumptions discussed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term of employee options with service-based vesting is determined using the “simplified” method, as prescribed in the U.S. Securities and Exchange Commission’s Staff Accounting Bulletin (“SAB”) No. 107, whereby the expected life equals the arithmetic average of the vesting term and the original contractual term of the option due to the Company’s lack of sufficient historical data. The expected term of non-employee options is equal to the contractual term.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volatility is based on historical volatilities of similar entities within the Company’s industry which were commensurate with the expected term assumption as described in SAB No. 107.</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risk-free interest rate is based on the interest rate payable on U.S. Treasury securities in effect at the time of grant for a period that is commensurate with the assumed expected term.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dividend yield is 0% because the Company has not historically paid and does not expect in the foreseeable future to pay a dividend on its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the Legacy Tigo’s common stock was not publicly traded prior to the Business Combination, its Board of Directors periodically estimated the fair value of the Company’s common stock considering, among other things, contemporaneous valuations of its common stock prepared by an unrelated third-party valuation firm in accordance with the guidance provided by the American Institute of Certified Public Accountants 2013 Practice Aid, Valuation of Privately-Held-Company Equity Securities Issued as Compensation.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The following table summarizes RSU activity for the Plans for the nine months ended September 30, 2025:</w:t>
      </w:r>
    </w:p>
    <w:tbl>
      <w:tblPr>
        <w:tblW w:w="7212" w:type="dxa"/>
        <w:jc w:val="left"/>
        <w:tblInd w:w="0" w:type="dxa"/>
        <w:tblLayout w:type="fixed"/>
        <w:tblCellMar>
          <w:top w:w="28" w:type="dxa"/>
          <w:left w:w="28" w:type="dxa"/>
          <w:bottom w:w="28" w:type="dxa"/>
          <w:right w:w="28" w:type="dxa"/>
        </w:tblCellMar>
      </w:tblPr>
      <w:tblGrid>
        <w:gridCol w:w="2986"/>
        <w:gridCol w:w="146"/>
        <w:gridCol w:w="146"/>
        <w:gridCol w:w="991"/>
        <w:gridCol w:w="166"/>
        <w:gridCol w:w="146"/>
        <w:gridCol w:w="729"/>
        <w:gridCol w:w="1611"/>
        <w:gridCol w:w="2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2,687,902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3,566,373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September 30, 2025, the total unrecognized compensation expense related to unvested RSUs was $6.7 million, which the Company expects to recognize over a weighted-average period of 2.0 years.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Performance Stock Units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As of September 30, 2025, and December 31, 2024, the Company had an outstanding balance of 1,760,048 PSUs, with a weighted average grant date fair value per share of $1.58. The PSUs vest over a three-year period beginning on January 1, 2025, with one-third of the award eligible to vest at the end of each fiscal year through December 31, 2027, based on the Company’s level of achievement of certain performance-based criteria tied to annual net revenue and adjusted EBITDA targets. The PSUs were valued using the market value of the Company’s Common Stock at the closing market price on the grant date.</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As of September 30, 2025, the total unrecognized compensation expense related to PSUs that were deemed probable to vest at the end of their respective performance period was $1.0 million, which the Company expects to recognize over a weighted-average period of 1.7 years.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lessee, the Company currently leases office space and vehicles in the United States, Italy, Israel, China, Philippines and Thailand. All of the Company leases are classified as operating leases. The Company has no leases classified as finance or sales-type leases. For leases with terms greater than 12 months, the Company records the related assets and obligations at the present value of lease payments over the term. Many of the Company’s leases include rental escalation clauses, renewal options and/or termination options that are factored into the Company’s determination of lease 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When available, the Company uses the rate implicit in the lease to discount lease payments to present value; however, most of its leases do not provide a readily determinable implicit rate. Therefore, the Company must estimate its incremental borrowing rate to discount the lease payments based on information available at lease commencement. The majority of the Company’s leases have remaining lease terms of one to five years, some of which include options to extend the leases for up to eight years, and some of which include options to terminate the leases within one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components of lease expense are as follows:</w:t>
      </w:r>
    </w:p>
    <w:p>
      <w:pPr>
        <w:pStyle w:val="TextBody"/>
        <w:bidi w:val="0"/>
        <w:jc w:val="both"/>
        <w:rPr/>
      </w:pPr>
      <w:r>
        <w:rPr/>
        <w:t> </w:t>
      </w:r>
    </w:p>
    <w:tbl>
      <w:tblPr>
        <w:tblW w:w="8338" w:type="dxa"/>
        <w:jc w:val="left"/>
        <w:tblInd w:w="0" w:type="dxa"/>
        <w:tblLayout w:type="fixed"/>
        <w:tblCellMar>
          <w:top w:w="28" w:type="dxa"/>
          <w:left w:w="28" w:type="dxa"/>
          <w:bottom w:w="28" w:type="dxa"/>
          <w:right w:w="28" w:type="dxa"/>
        </w:tblCellMar>
      </w:tblPr>
      <w:tblGrid>
        <w:gridCol w:w="2031"/>
        <w:gridCol w:w="346"/>
        <w:gridCol w:w="364"/>
        <w:gridCol w:w="726"/>
        <w:gridCol w:w="252"/>
        <w:gridCol w:w="252"/>
        <w:gridCol w:w="364"/>
        <w:gridCol w:w="726"/>
        <w:gridCol w:w="146"/>
        <w:gridCol w:w="146"/>
        <w:gridCol w:w="295"/>
        <w:gridCol w:w="798"/>
        <w:gridCol w:w="204"/>
        <w:gridCol w:w="204"/>
        <w:gridCol w:w="295"/>
        <w:gridCol w:w="798"/>
        <w:gridCol w:w="391"/>
      </w:tblGrid>
      <w:tr>
        <w:trPr/>
        <w:tc>
          <w:tcPr>
            <w:tcW w:w="20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costs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Variable lease costs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information related to leases was as follows:</w:t>
      </w:r>
    </w:p>
    <w:p>
      <w:pPr>
        <w:pStyle w:val="TextBody"/>
        <w:bidi w:val="0"/>
        <w:jc w:val="both"/>
        <w:rPr/>
      </w:pPr>
      <w:r>
        <w:rPr/>
        <w:t> </w:t>
      </w:r>
    </w:p>
    <w:tbl>
      <w:tblPr>
        <w:tblW w:w="10152" w:type="dxa"/>
        <w:jc w:val="left"/>
        <w:tblInd w:w="0" w:type="dxa"/>
        <w:tblLayout w:type="fixed"/>
        <w:tblCellMar>
          <w:top w:w="28" w:type="dxa"/>
          <w:left w:w="28" w:type="dxa"/>
          <w:bottom w:w="28" w:type="dxa"/>
          <w:right w:w="28" w:type="dxa"/>
        </w:tblCellMar>
      </w:tblPr>
      <w:tblGrid>
        <w:gridCol w:w="7121"/>
        <w:gridCol w:w="146"/>
        <w:gridCol w:w="295"/>
        <w:gridCol w:w="798"/>
        <w:gridCol w:w="204"/>
        <w:gridCol w:w="204"/>
        <w:gridCol w:w="295"/>
        <w:gridCol w:w="798"/>
        <w:gridCol w:w="291"/>
      </w:tblGrid>
      <w:tr>
        <w:trPr/>
        <w:tc>
          <w:tcPr>
            <w:tcW w:w="7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Flows Information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right of use assets obtained in exchange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jc w:val="left"/>
        <w:rPr/>
      </w:pPr>
      <w:r>
        <w:rPr/>
        <w:t> </w:t>
      </w:r>
    </w:p>
    <w:tbl>
      <w:tblPr>
        <w:tblW w:w="8115" w:type="dxa"/>
        <w:jc w:val="left"/>
        <w:tblInd w:w="0" w:type="dxa"/>
        <w:tblLayout w:type="fixed"/>
        <w:tblCellMar>
          <w:top w:w="28" w:type="dxa"/>
          <w:left w:w="28" w:type="dxa"/>
          <w:bottom w:w="28" w:type="dxa"/>
          <w:right w:w="28" w:type="dxa"/>
        </w:tblCellMar>
      </w:tblPr>
      <w:tblGrid>
        <w:gridCol w:w="4116"/>
        <w:gridCol w:w="146"/>
        <w:gridCol w:w="443"/>
        <w:gridCol w:w="1102"/>
        <w:gridCol w:w="271"/>
        <w:gridCol w:w="146"/>
        <w:gridCol w:w="430"/>
        <w:gridCol w:w="1070"/>
        <w:gridCol w:w="391"/>
      </w:tblGrid>
      <w:tr>
        <w:trPr/>
        <w:tc>
          <w:tcPr>
            <w:tcW w:w="4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Future maturities of lease liabilities were as follows as of September 30, 2025:</w:t>
      </w:r>
    </w:p>
    <w:p>
      <w:pPr>
        <w:pStyle w:val="TextBody"/>
        <w:bidi w:val="0"/>
        <w:jc w:val="both"/>
        <w:rPr/>
      </w:pPr>
      <w:r>
        <w:rPr/>
        <w:t> </w:t>
      </w:r>
    </w:p>
    <w:tbl>
      <w:tblPr>
        <w:tblW w:w="5083" w:type="dxa"/>
        <w:jc w:val="left"/>
        <w:tblInd w:w="0" w:type="dxa"/>
        <w:tblLayout w:type="fixed"/>
        <w:tblCellMar>
          <w:top w:w="28" w:type="dxa"/>
          <w:left w:w="28" w:type="dxa"/>
          <w:bottom w:w="28" w:type="dxa"/>
          <w:right w:w="28" w:type="dxa"/>
        </w:tblCellMar>
      </w:tblPr>
      <w:tblGrid>
        <w:gridCol w:w="3181"/>
        <w:gridCol w:w="146"/>
        <w:gridCol w:w="367"/>
        <w:gridCol w:w="998"/>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Goodwill and Intangible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September 30, 2025, the Company had a goodwill balance of $12.2 million. The goodwill balance is related to the acquisition of Tigo Energy AI Ltd (f/k/a Foresight Energy, Ltd. (“fSight”)).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intangible assets by major asset class are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74"/>
        <w:gridCol w:w="146"/>
        <w:gridCol w:w="2384"/>
        <w:gridCol w:w="146"/>
        <w:gridCol w:w="211"/>
        <w:gridCol w:w="571"/>
        <w:gridCol w:w="146"/>
        <w:gridCol w:w="146"/>
        <w:gridCol w:w="559"/>
        <w:gridCol w:w="1279"/>
        <w:gridCol w:w="166"/>
        <w:gridCol w:w="146"/>
        <w:gridCol w:w="306"/>
        <w:gridCol w:w="830"/>
        <w:gridCol w:w="295"/>
      </w:tblGrid>
      <w:tr>
        <w:trPr/>
        <w:tc>
          <w:tcPr>
            <w:tcW w:w="2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0"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for useful life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Useful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Amortizing: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74"/>
        <w:gridCol w:w="146"/>
        <w:gridCol w:w="2384"/>
        <w:gridCol w:w="146"/>
        <w:gridCol w:w="211"/>
        <w:gridCol w:w="571"/>
        <w:gridCol w:w="146"/>
        <w:gridCol w:w="146"/>
        <w:gridCol w:w="559"/>
        <w:gridCol w:w="1279"/>
        <w:gridCol w:w="166"/>
        <w:gridCol w:w="146"/>
        <w:gridCol w:w="306"/>
        <w:gridCol w:w="830"/>
        <w:gridCol w:w="295"/>
      </w:tblGrid>
      <w:tr>
        <w:trPr/>
        <w:tc>
          <w:tcPr>
            <w:tcW w:w="2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0"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for useful life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Useful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Amortizing: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recognized amortization expense related to intangible assets of $0.1 million and $0.2 million for the three and nine months ended September 30, 2025, respectively. The Company recognized amortization expense related to intangible assets of $0.1 million and $0.2 million for the three and nine months ended September 30, 2024,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Amortization expense related to intangible assets at September 30, 2025, in each of the next five years and beyond is expected to be incurred as follows:</w:t>
      </w:r>
    </w:p>
    <w:tbl>
      <w:tblPr>
        <w:tblW w:w="2800" w:type="dxa"/>
        <w:jc w:val="left"/>
        <w:tblInd w:w="0" w:type="dxa"/>
        <w:tblLayout w:type="fixed"/>
        <w:tblCellMar>
          <w:top w:w="28" w:type="dxa"/>
          <w:left w:w="28" w:type="dxa"/>
          <w:bottom w:w="28" w:type="dxa"/>
          <w:right w:w="28" w:type="dxa"/>
        </w:tblCellMar>
      </w:tblPr>
      <w:tblGrid>
        <w:gridCol w:w="1681"/>
        <w:gridCol w:w="146"/>
        <w:gridCol w:w="211"/>
        <w:gridCol w:w="57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The income tax provision is calculated for an interim period by distinguishing between elements recognized in the income tax provision through applying an estimated annual effective tax rate to a measure of year-to-date operating results referred to as “ordinary income (or loss),” and discretely recognizing specific events referred to as “discrete items” as they occur. The Company’s effective tax rates for the three months ended September 30, 2025, and 2024 differ from the federal statutory rate of 21% principally as a result of valuation allowances expected to be maintained against the Company’s deferred tax assets. Additionally, the Company recorded a discrete tax expense for the three and nine months ended September 30, 2025, of $0.2 million and $0.7 million, respectively. For discrete tax expense recorded during the three and nine months ended September 30, 2025, $0.3 million is related to the settlement of a foreign tax examination. In January 2025, the Italian tax authority initiated a tax examination of the Company’s Italian operations. In April 2025, the tax examination was closed, and the settlement liability was approximately $0.3 million. The Company recorded a de minimis amount of income tax expense for the three and nine months ended September 30, 2024.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July 2025, the One Big Beautiful Bill Act (the “OBBB”) was enacted into law. The OBBB, among other changes, eliminates the requirement to capitalize U.S. domestic research and development expenses and permanently extends or changes several key provisions of the Tax Cuts and Jobs Act, including 100% bonus depreciation and the business interest expense limitation. The Company is evaluating the provisions of the OBBB and its impact to income taxes and future condensed consolidated financial statements but does not expect the OBBB to have a material impact on the Company’s effective tax rate due to the valuation allowance offsetting U.S. deferred tax assets.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14.</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evaluated subsequent events and transactions that occurred after the balance sheet date up to the date that the condensed consolidated financial statements were issued. Based upon this review the Company did not identify any subsequent events that would have required adjustment or disclosure in the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8" w:name="item_2_mda"/>
      <w:bookmarkEnd w:id="8"/>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should be read in conjunction with our condensed consolidated financial statements and the related notes that appear elsewhere in this Quarterly Report on Form 10-Q, and the audited consolidated financial statements and notes thereto included in our 2024 Annual Report. In addition to historical data, this discussion contains forward-looking statements about our business, results of operations, cash flows, financial condition and prospects based on current expectations that involve risks, uncertainties and assumptions. Our actual results could differ materially from such forward-looking statements. Factors that could cause or contribute to those differences include, but are not limited to, those identified below and those discussed in the sections titled “Cautionary Note Regarding Forward-Looking Statements” included elsewhere in this Quarterly Report on Form 10-Q, including those set forth in Part II, Item 1A, “Risk Factors” in this Quarterly Report on Form 10-Q and in Part I, Item 1A, “Risk Factors” in the 2024 Annual Report. Additionally, our historical results are not necessarily indicative of the results that may be expected for any period in the future.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mission is to deliver smart systems solutions, combining hardware and software, which enhance safety, increase energy yield, and lower operating costs of residential, commercial, and utility-scale solar systems. We believe we are a worldwide leader in the development and delivery of products and solutions that are flexible and dependable, increase the energy generation of solar energy systems and address the need for change. We primarily offer products and services through distributors and solar installers. We have a worldwide footprint with product installations in over 100 countries and on all seven continents.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Key Factors that May Influence Future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financial results of operations may not be comparable from period to period due to several factors. Key factors affecting our results of operations are summarized below. </w:t>
      </w:r>
    </w:p>
    <w:p>
      <w:pPr>
        <w:pStyle w:val="TextBody"/>
        <w:bidi w:val="0"/>
        <w:spacing w:before="240" w:after="160"/>
        <w:jc w:val="both"/>
        <w:rPr>
          <w:rFonts w:ascii="Times New Roman" w:hAnsi="Times New Roman"/>
          <w:sz w:val="20"/>
        </w:rPr>
      </w:pPr>
      <w:r>
        <w:rPr>
          <w:rFonts w:ascii="Times New Roman" w:hAnsi="Times New Roman"/>
          <w:b/>
          <w:i/>
          <w:color w:val="000000"/>
          <w:sz w:val="20"/>
        </w:rPr>
        <w:t>Trade Tariffs</w:t>
      </w:r>
      <w:r>
        <w:rPr>
          <w:rFonts w:ascii="Times New Roman" w:hAnsi="Times New Roman"/>
          <w:i/>
          <w:color w:val="000000"/>
          <w:sz w:val="20"/>
        </w:rPr>
        <w:t xml:space="preserve">. </w:t>
      </w:r>
      <w:r>
        <w:rPr>
          <w:rFonts w:ascii="Times New Roman" w:hAnsi="Times New Roman"/>
          <w:color w:val="000000"/>
          <w:sz w:val="20"/>
        </w:rPr>
        <w:t>It is uncertain what impact new or existing tariffs, trade restrictions, or retaliatory actions may have on us, the solar industry, and our customers. U.S. net revenue represented 20.9% of our total net revenue for the nine months ended September 30, 2025. Substantially all of our MLPE products, which represented 66.3% of U.S. net revenues during the nine months ended September 30, 2025, were manufactured in Thailand and future purchases may be subject to a 19% reciprocal import tariff as of the date of this report. In addition, substantially all of our GO Energy Storage Systems (“GO ESS”) products, which represented 23.0% of U.S. net revenues during the nine months ended September 30, 2025. Beginning in October 2025, we transitioned production of our GO ESS product line for the U.S. market from China to Vietnam. Imports from Vietnam are currently subject to a 20% reciprocal tariff rate as of the date of this report.</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While we are actively evaluating alternative sourcing strategies, the global supply chain for key hardware components necessary to manufacture our products remains concentrated in regions affected by these trade measures, and identifying qualified suppliers outside of these regions with sufficient capacity and technical expertise remains challenging.</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Any escalation in trade tensions, new or expanded tariffs, or broader geopolitical instability could impact our sourcing flexibility, product pricing, cost structure, and/or customer demand for our product lines. These factors, combined with potential economic softening, could lead to elevated inventory levels and reduced leverage in supplier pricing negotiations. Any of these outcomes could negatively affect our operations, financial performance, and cash flows.</w:t>
      </w:r>
    </w:p>
    <w:p>
      <w:pPr>
        <w:pStyle w:val="TextBody"/>
        <w:bidi w:val="0"/>
        <w:spacing w:before="80" w:after="283"/>
        <w:jc w:val="both"/>
        <w:rPr>
          <w:rFonts w:ascii="Times New Roman" w:hAnsi="Times New Roman"/>
          <w:sz w:val="20"/>
        </w:rPr>
      </w:pPr>
      <w:r>
        <w:rPr>
          <w:rFonts w:ascii="Times New Roman" w:hAnsi="Times New Roman"/>
          <w:b/>
          <w:i/>
          <w:color w:val="000000"/>
          <w:sz w:val="20"/>
        </w:rPr>
        <w:t>Managing Supply Chain</w:t>
      </w:r>
      <w:r>
        <w:rPr>
          <w:rFonts w:ascii="Times New Roman" w:hAnsi="Times New Roman"/>
          <w:b/>
          <w:color w:val="000000"/>
          <w:sz w:val="20"/>
        </w:rPr>
        <w:t>.</w:t>
      </w:r>
      <w:r>
        <w:rPr>
          <w:rFonts w:ascii="Times New Roman" w:hAnsi="Times New Roman"/>
          <w:color w:val="000000"/>
          <w:sz w:val="20"/>
        </w:rPr>
        <w:t xml:space="preserve"> We rely on contract manufacturers and suppliers to produce our components, with a significant portion of our supply chain originating in Thailand and China. As noted above, we transitioned production of our GO ESS product line for the U.S. market from China to Vietnam in October 2025. Our ability to grow depends, in part, on the ability of our contract manufacturers and suppliers to provide high quality services and deliver components and finished products on time and at reasonable costs. While we have diversified our supply chain, some of our suppliers and contract manufacturers are sole-source suppliers. Our concentration of suppliers could lead to supply shortages, long lead times for components and supply changes. In the event we are unable to mitigate the impact of delays and/or price increases in raw materials, electronic components and freight, as a result of new or existing tariffs, trade restrictions, retaliatory actions, or otherwise, it could delay the manufacturing and delivery of our products, which would adversely impact our cash flows and results of operations, including revenue and gross margin. In addition, in a slowing economic environment in the U.S. and worldwide, our inventory levels may continue to increase due to existing purchase commitments and our ability to negotiate volume pricing discounts may be impaired.</w:t>
      </w:r>
    </w:p>
    <w:p>
      <w:pPr>
        <w:pStyle w:val="TextBody"/>
        <w:bidi w:val="0"/>
        <w:spacing w:before="240" w:after="180"/>
        <w:jc w:val="both"/>
        <w:rPr>
          <w:rFonts w:ascii="Times New Roman" w:hAnsi="Times New Roman"/>
          <w:sz w:val="20"/>
        </w:rPr>
      </w:pPr>
      <w:r>
        <w:rPr>
          <w:rFonts w:ascii="Times New Roman" w:hAnsi="Times New Roman"/>
          <w:b/>
          <w:i/>
          <w:color w:val="000000"/>
          <w:sz w:val="20"/>
        </w:rPr>
        <w:t>One Big Beautiful Bill Act of 2025.</w:t>
      </w:r>
      <w:r>
        <w:rPr>
          <w:rFonts w:ascii="Times New Roman" w:hAnsi="Times New Roman"/>
          <w:color w:val="000000"/>
          <w:sz w:val="20"/>
        </w:rPr>
        <w:t xml:space="preserve"> In July 2025, the One Big Beautiful Bill Act of 2025 (“OBBB”) was signed into law, introducing significant changes to clean energy tax credit programs that may impact our financial condition, results of operations and future prospects. The law phases out the Investment Tax Credit (“ITC”) under Section 25D of the Internal Revenue Code of 1986, as amended (the “Code”), for residential solar and storage systems purchased through cash or loans, with the credit now set to expire on December 31,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Additionally, the OBBB imposes new timing requirements for ITCs under Section 48E of the Code, which governs ITCs for solar and storage systems. Solar-only projects that do not commence construction within 12 months of the OBBB’s enactment must now be placed in service by December 31, 2027, to retain eligibility. While energy storage systems are exempt from this specific deadline, the ITC under Section 48E of the Code generally begins to phase down in 2034. The ITCs decline to 75% for projects beginning construction in 2034, 50% for projects beginning construction in 2035, and phases out entirely for projects beginning construction in or after 2036.</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The legislation also raises the domestic content threshold for bonus ITC eligibility under Section 48E of the Code to match the thresholds under Section 45Y of the Code, increasing the required domestic cost share to 45% for projects beginning construction on or after June 16, 2025 and before January 1, 2026. The percentage increases to 50% for projects beginning construction during calendar year 2026 and 55% for projects beginning construction after December 31, 2026. In parallel, the OBBB introduces new compliance requirements under the Foreign Entity of Concern (“FEOC”) provisions applicable to both Section 48E of the Code and the Advanced Manufacturing Production Tax Credit (“AMPTC”) under Section 45X of the Code. These provisions establish escalating content sourcing restrictions and other restrictions, generally applicable to taxable years beginning after the date of enactment of the OBBB, for qualifying solar and storage projects and for manufactured components.</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On July 7, 2025, the President issued an Executive Order directing the Treasury Department to provide updated guidance within 45 days regarding the “beginning of construction” rules for Section 48E of the Code and to implement the FEOC restrictions.</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These legislative and regulatory developments may negatively impact our eligibility for certain tax credits, the competitiveness of our offerings to solar and storage system lease providers, and the overall demand for our products. If we are unable to meet the revised domestic content or FEOC requirements, our ability to qualify for these incentives could be impaired, which may adversely affect our business and results of operations. </w:t>
      </w:r>
    </w:p>
    <w:p>
      <w:pPr>
        <w:pStyle w:val="TextBody"/>
        <w:bidi w:val="0"/>
        <w:spacing w:before="80" w:after="283"/>
        <w:jc w:val="both"/>
        <w:rPr>
          <w:rFonts w:ascii="Times New Roman" w:hAnsi="Times New Roman"/>
          <w:sz w:val="20"/>
        </w:rPr>
      </w:pPr>
      <w:r>
        <w:rPr>
          <w:rFonts w:ascii="Times New Roman" w:hAnsi="Times New Roman"/>
          <w:b/>
          <w:i/>
          <w:color w:val="000000"/>
          <w:sz w:val="20"/>
        </w:rPr>
        <w:t>Demand for Products.</w:t>
      </w:r>
      <w:r>
        <w:rPr>
          <w:rFonts w:ascii="Times New Roman" w:hAnsi="Times New Roman"/>
          <w:color w:val="000000"/>
          <w:sz w:val="20"/>
        </w:rPr>
        <w:t xml:space="preserve"> Demand for our products has continued to increase since the beginning of 2024 following an industry-wide downturn that began in the second half of 2023. Since the beginning of 2024, we have seen a general recovery across the major markets we serve, particularly in Europe and the United States. We believe this improvement is driven by a combination of strengthening market conditions and our ability to increase our share in the markets we serve.</w:t>
      </w:r>
    </w:p>
    <w:p>
      <w:pPr>
        <w:pStyle w:val="TextBody"/>
        <w:bidi w:val="0"/>
        <w:spacing w:before="240" w:after="160"/>
        <w:jc w:val="both"/>
        <w:rPr>
          <w:rFonts w:ascii="Times New Roman" w:hAnsi="Times New Roman"/>
          <w:sz w:val="20"/>
        </w:rPr>
      </w:pPr>
      <w:r>
        <w:rPr>
          <w:rFonts w:ascii="Times New Roman" w:hAnsi="Times New Roman"/>
          <w:b/>
          <w:i/>
          <w:color w:val="000000"/>
          <w:sz w:val="20"/>
        </w:rPr>
        <w:t>Macroeconomic and Market Conditions.</w:t>
      </w:r>
      <w:r>
        <w:rPr>
          <w:rFonts w:ascii="Times New Roman" w:hAnsi="Times New Roman"/>
          <w:color w:val="000000"/>
          <w:sz w:val="20"/>
        </w:rPr>
        <w:t xml:space="preserve"> The global macroeconomic and market uncertainty has adversely impacted the U.S. and global economies and may continue to do so. As our global footprint expands, we are increasingly exposed to the effects of this evolving environment, including heightened inflationary pressures, interest rate volatility, tariffs, foreign currency fluctuations, potential economic slowdowns or recessions, geopolitical tensions, and regulatory changes stemming from current and future trade policies. A tighter credit market for consumer and business spending could, in turn, adversely affect the spending levels of installers and end users and lead to increased price competition for our products. Reductions in customer spending in response to unfavorable or uncertain macroeconomic and market conditions, globally or in a particular region where we operate, have adversely affected, and could continue to adversely affect, our business, results of operations and financial condition.</w:t>
      </w:r>
    </w:p>
    <w:p>
      <w:pPr>
        <w:pStyle w:val="TextBody"/>
        <w:bidi w:val="0"/>
        <w:spacing w:before="80" w:after="283"/>
        <w:jc w:val="both"/>
        <w:rPr>
          <w:rFonts w:ascii="Times New Roman" w:hAnsi="Times New Roman"/>
          <w:sz w:val="20"/>
        </w:rPr>
      </w:pPr>
      <w:r>
        <w:rPr>
          <w:rFonts w:ascii="Times New Roman" w:hAnsi="Times New Roman"/>
          <w:b/>
          <w:i/>
          <w:color w:val="000000"/>
          <w:sz w:val="20"/>
        </w:rPr>
        <w:t>Expansion of Sales, Customers, and Product Offerings.</w:t>
      </w:r>
      <w:r>
        <w:rPr>
          <w:rFonts w:ascii="Times New Roman" w:hAnsi="Times New Roman"/>
          <w:color w:val="000000"/>
          <w:sz w:val="20"/>
        </w:rPr>
        <w:t xml:space="preserve"> Our ability to grow revenue, in part, depends on expanding both our product and service offerings and our customer base. We primarily acquire new customers through collaboration with industry partners and distributors, and while we expect near-term revenue to remain concentrated among existing customers, we plan to expand our presence in the residential markets in the U.S. and EMEA. While the majority of our North American revenue is currently generated from commercial and industrial markets, we are actively working to grow our presence in the U.S. residential market through offerings with residential solar providers. Internationally, we continue to evaluate and invest in new market opportunities, particularly in the EMEA region, where we have begun offering our residential solutions in Italy and Germany.</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Additionally, we have made substantial investments in research and development to support new product introductions. Although a significant portion of our revenue is derived from our MLPE products, we are continuing to develop and promote additional offerings such as our GO ESS product line and Predict+ service, which we believe will help contribute to long-term revenue growth and market leadership.</w:t>
      </w:r>
    </w:p>
    <w:p>
      <w:pPr>
        <w:pStyle w:val="Heading2"/>
        <w:bidi w:val="0"/>
        <w:spacing w:before="200" w:after="120"/>
        <w:jc w:val="both"/>
        <w:rPr>
          <w:rFonts w:ascii="Times New Roman" w:hAnsi="Times New Roman"/>
          <w:color w:val="000000"/>
          <w:sz w:val="20"/>
        </w:rPr>
      </w:pPr>
      <w:r>
        <w:rPr>
          <w:rFonts w:ascii="Times New Roman" w:hAnsi="Times New Roman"/>
          <w:color w:val="000000"/>
          <w:sz w:val="20"/>
        </w:rPr>
        <w:t>Key Operating and Financial Metrics</w:t>
      </w:r>
    </w:p>
    <w:p>
      <w:pPr>
        <w:pStyle w:val="TextBody"/>
        <w:bidi w:val="0"/>
        <w:jc w:val="both"/>
        <w:rPr>
          <w:rFonts w:ascii="Times New Roman" w:hAnsi="Times New Roman"/>
          <w:color w:val="000000"/>
          <w:sz w:val="20"/>
        </w:rPr>
      </w:pPr>
      <w:r>
        <w:rPr>
          <w:rFonts w:ascii="Times New Roman" w:hAnsi="Times New Roman"/>
          <w:color w:val="000000"/>
          <w:sz w:val="20"/>
        </w:rPr>
        <w:t xml:space="preserve">We regularly review a number of metrics, including the following key operating and financial metrics, to evaluate our business, measure our performance, identify trends in our business, prepare financial projections and make strategic decisions. We believe the operating and financial metrics presented are useful in evaluating our operating performance, as they are similar to measures used by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public competitors and are regularly used by securities analysts, institutional investors, and other interested parties in analyzing operating performance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sets forth these metrics for the periods presented: </w:t>
      </w:r>
    </w:p>
    <w:p>
      <w:pPr>
        <w:pStyle w:val="TextBody"/>
        <w:bidi w:val="0"/>
        <w:jc w:val="left"/>
        <w:rPr/>
      </w:pPr>
      <w:r>
        <w:rPr/>
        <w:t> </w:t>
      </w:r>
    </w:p>
    <w:tbl>
      <w:tblPr>
        <w:tblW w:w="8690" w:type="dxa"/>
        <w:jc w:val="left"/>
        <w:tblInd w:w="0" w:type="dxa"/>
        <w:tblLayout w:type="fixed"/>
        <w:tblCellMar>
          <w:top w:w="28" w:type="dxa"/>
          <w:left w:w="28" w:type="dxa"/>
          <w:bottom w:w="28" w:type="dxa"/>
          <w:right w:w="28" w:type="dxa"/>
        </w:tblCellMar>
      </w:tblPr>
      <w:tblGrid>
        <w:gridCol w:w="2596"/>
        <w:gridCol w:w="146"/>
        <w:gridCol w:w="257"/>
        <w:gridCol w:w="790"/>
        <w:gridCol w:w="317"/>
        <w:gridCol w:w="192"/>
        <w:gridCol w:w="257"/>
        <w:gridCol w:w="869"/>
        <w:gridCol w:w="241"/>
        <w:gridCol w:w="146"/>
        <w:gridCol w:w="242"/>
        <w:gridCol w:w="816"/>
        <w:gridCol w:w="297"/>
        <w:gridCol w:w="180"/>
        <w:gridCol w:w="242"/>
        <w:gridCol w:w="816"/>
        <w:gridCol w:w="28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30,613</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14,237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73,507</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36,740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13,061</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30,997</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(4,832</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(27,908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(2,166</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(13,117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(13,597</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(35,944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360" w:after="283"/>
        <w:jc w:val="both"/>
        <w:rPr>
          <w:rFonts w:ascii="Times New Roman" w:hAnsi="Times New Roman"/>
          <w:sz w:val="20"/>
        </w:rPr>
      </w:pPr>
      <w:r>
        <w:rPr>
          <w:rFonts w:ascii="Times New Roman" w:hAnsi="Times New Roman"/>
          <w:i/>
          <w:color w:val="000000"/>
          <w:sz w:val="20"/>
        </w:rPr>
        <w:t>Gross Profit and Gross Margin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gross profit as total net revenue less cost of revenue, and define gross margin, expressed as a percentage, as the ratio of gross profit to revenue. Gross profit and margin can be used to understand our financial performance and efficiency and allow investors to evaluate its pricing strategy and compare it against competitors. We use these metrics to make strategic decisions identifying areas for improvement, set targets for future performance and make informed decisions about how to allocate resources going forward.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Key Components and Comparison of Results of Operations</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Net Revenue</w:t>
      </w:r>
    </w:p>
    <w:p>
      <w:pPr>
        <w:pStyle w:val="Heading2"/>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38"/>
        <w:gridCol w:w="146"/>
        <w:gridCol w:w="196"/>
        <w:gridCol w:w="601"/>
        <w:gridCol w:w="146"/>
        <w:gridCol w:w="146"/>
        <w:gridCol w:w="196"/>
        <w:gridCol w:w="601"/>
        <w:gridCol w:w="146"/>
        <w:gridCol w:w="146"/>
        <w:gridCol w:w="196"/>
        <w:gridCol w:w="601"/>
        <w:gridCol w:w="146"/>
        <w:gridCol w:w="146"/>
        <w:gridCol w:w="146"/>
        <w:gridCol w:w="511"/>
        <w:gridCol w:w="241"/>
        <w:gridCol w:w="146"/>
        <w:gridCol w:w="196"/>
        <w:gridCol w:w="601"/>
        <w:gridCol w:w="146"/>
        <w:gridCol w:w="146"/>
        <w:gridCol w:w="196"/>
        <w:gridCol w:w="601"/>
        <w:gridCol w:w="146"/>
        <w:gridCol w:w="146"/>
        <w:gridCol w:w="196"/>
        <w:gridCol w:w="601"/>
        <w:gridCol w:w="146"/>
        <w:gridCol w:w="146"/>
        <w:gridCol w:w="146"/>
        <w:gridCol w:w="511"/>
        <w:gridCol w:w="286"/>
      </w:tblGrid>
      <w:tr>
        <w:trPr/>
        <w:tc>
          <w:tcPr>
            <w:tcW w:w="1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September 30, 2025, and 2024</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 xml:space="preserve">Net revenue increased by $16.4 million or 115.0% for the three months ended September 30, 2025, as compared to the same period in 2024, which is driven primarily by an increase of $14.0 million or 108.9% in net revenue from our MLPE product line, which is primarily attributable to the continued market recovery that began in the first quarter of 2024 and an increased market acceptance of the product line. Additionally, our GO ESS product line increased by $2.4 million or 350.0% in net revenue for the three months ended September 30, 2025, compared to the same period in 2024, which is primarily attributable to increased promotional activities. </w:t>
      </w:r>
    </w:p>
    <w:p>
      <w:pPr>
        <w:pStyle w:val="TextBody"/>
        <w:bidi w:val="0"/>
        <w:spacing w:before="160" w:after="120"/>
        <w:jc w:val="both"/>
        <w:rPr>
          <w:rFonts w:ascii="Times New Roman" w:hAnsi="Times New Roman"/>
          <w:i/>
          <w:color w:val="000000"/>
          <w:sz w:val="20"/>
        </w:rPr>
      </w:pPr>
      <w:r>
        <w:rPr>
          <w:rFonts w:ascii="Times New Roman" w:hAnsi="Times New Roman"/>
          <w:i/>
          <w:color w:val="000000"/>
          <w:sz w:val="20"/>
        </w:rPr>
        <w:t>Nine months ended September 30, 2025, and 2024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Net revenue increased by $36.8 million or 100.1% for the nine months ended September 30, 2025, as compared to the same period in 2024, which is driven primarily by an increase of $30.7 million or 94.0% in net revenue from our MLPE product line, which is primarily attributable to the continued market recovery that began in the first quarter of 2024 and an increased market acceptance of the product line. Additionally, our GO ESS product line increased by $4.8 million or 187.4% in net revenue for the nine months ended September 30, 2025, compared to the same period in 2024, which is primarily attributable to increased promotional activities.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Please see the section below for a discussion of the factors influencing the fluctuations in net revenue for each geographic region.</w:t>
      </w:r>
    </w:p>
    <w:tbl>
      <w:tblPr>
        <w:tblW w:w="10205" w:type="dxa"/>
        <w:jc w:val="left"/>
        <w:tblInd w:w="0" w:type="dxa"/>
        <w:tblLayout w:type="fixed"/>
        <w:tblCellMar>
          <w:top w:w="28" w:type="dxa"/>
          <w:left w:w="28" w:type="dxa"/>
          <w:bottom w:w="28" w:type="dxa"/>
          <w:right w:w="28" w:type="dxa"/>
        </w:tblCellMar>
      </w:tblPr>
      <w:tblGrid>
        <w:gridCol w:w="1462"/>
        <w:gridCol w:w="146"/>
        <w:gridCol w:w="196"/>
        <w:gridCol w:w="601"/>
        <w:gridCol w:w="146"/>
        <w:gridCol w:w="146"/>
        <w:gridCol w:w="196"/>
        <w:gridCol w:w="601"/>
        <w:gridCol w:w="146"/>
        <w:gridCol w:w="146"/>
        <w:gridCol w:w="196"/>
        <w:gridCol w:w="601"/>
        <w:gridCol w:w="166"/>
        <w:gridCol w:w="146"/>
        <w:gridCol w:w="146"/>
        <w:gridCol w:w="511"/>
        <w:gridCol w:w="259"/>
        <w:gridCol w:w="146"/>
        <w:gridCol w:w="196"/>
        <w:gridCol w:w="601"/>
        <w:gridCol w:w="146"/>
        <w:gridCol w:w="146"/>
        <w:gridCol w:w="196"/>
        <w:gridCol w:w="601"/>
        <w:gridCol w:w="146"/>
        <w:gridCol w:w="146"/>
        <w:gridCol w:w="196"/>
        <w:gridCol w:w="601"/>
        <w:gridCol w:w="166"/>
        <w:gridCol w:w="146"/>
        <w:gridCol w:w="146"/>
        <w:gridCol w:w="511"/>
        <w:gridCol w:w="304"/>
      </w:tblGrid>
      <w:tr>
        <w:trPr/>
        <w:tc>
          <w:tcPr>
            <w:tcW w:w="1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14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149.7</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139.8</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170.8</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102.9</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APAC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September 30, 2025, and 2024</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EMEA - Net revenue for the EMEA region increased by $12.9 million or 149.7% for the three months ended September 30, 2025</w:t>
      </w:r>
      <w:r>
        <w:rPr>
          <w:rFonts w:ascii="Times New Roman" w:hAnsi="Times New Roman"/>
          <w:i/>
          <w:color w:val="000000"/>
          <w:sz w:val="20"/>
        </w:rPr>
        <w:t xml:space="preserve">, </w:t>
      </w:r>
      <w:r>
        <w:rPr>
          <w:rFonts w:ascii="Times New Roman" w:hAnsi="Times New Roman"/>
          <w:color w:val="000000"/>
          <w:sz w:val="20"/>
        </w:rPr>
        <w:t xml:space="preserve">as compared to the same period in 2024, which is driven primarily by an increase of $11.8 million and $1.1 million in net revenue from our MLPE and GO ESS product lines, respectively. The growth was primarily driven by higher demand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Times New Roman" w:hAnsi="Times New Roman"/>
          <w:color w:val="000000"/>
          <w:sz w:val="20"/>
        </w:rPr>
        <w:t>of our MLPE products in Germany, the Czech Republic, the United Kingdom, Italy and Poland, in addition to the sale of $1.0 million of our GO ESS product lines to a customer in Italy.</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Americas - Net revenue for the Americas region increased by $5.0 million or 170.8% for the three months ended September 30, 2025</w:t>
      </w:r>
      <w:r>
        <w:rPr>
          <w:rFonts w:ascii="Times New Roman" w:hAnsi="Times New Roman"/>
          <w:i/>
          <w:color w:val="000000"/>
          <w:sz w:val="20"/>
        </w:rPr>
        <w:t xml:space="preserve">, </w:t>
      </w:r>
      <w:r>
        <w:rPr>
          <w:rFonts w:ascii="Times New Roman" w:hAnsi="Times New Roman"/>
          <w:color w:val="000000"/>
          <w:sz w:val="20"/>
        </w:rPr>
        <w:t>as compared to the same period in 2024, which is driven primarily by increases of $3.7 million and $1.4 million in net revenue from our MLPE product line and GO ESS product lines, respectively. This growth was primarily attributable to increased demand in the United States, driven by higher sales of our MLPE product line and increased promotional activities for our GO ESS product line.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APAC - Net revenue for the APAC region decreased by $1.6 million or 59.3% for the three months ended September 30, 2025</w:t>
      </w:r>
      <w:r>
        <w:rPr>
          <w:rFonts w:ascii="Times New Roman" w:hAnsi="Times New Roman"/>
          <w:i/>
          <w:color w:val="000000"/>
          <w:sz w:val="20"/>
        </w:rPr>
        <w:t xml:space="preserve">, </w:t>
      </w:r>
      <w:r>
        <w:rPr>
          <w:rFonts w:ascii="Times New Roman" w:hAnsi="Times New Roman"/>
          <w:color w:val="000000"/>
          <w:sz w:val="20"/>
        </w:rPr>
        <w:t>as compared to the same period in 2024, which is driven primarily by a decrease of $1.6 million in net revenue from our MLPE product line. This decrease was primarily driven by lower demand of our MLPE products in Australia, the Philippines and Thailand.</w:t>
      </w:r>
    </w:p>
    <w:p>
      <w:pPr>
        <w:pStyle w:val="TextBody"/>
        <w:bidi w:val="0"/>
        <w:spacing w:before="360" w:after="120"/>
        <w:jc w:val="both"/>
        <w:rPr>
          <w:rFonts w:ascii="Times New Roman" w:hAnsi="Times New Roman"/>
          <w:i/>
          <w:color w:val="000000"/>
          <w:sz w:val="20"/>
        </w:rPr>
      </w:pPr>
      <w:r>
        <w:rPr>
          <w:rFonts w:ascii="Times New Roman" w:hAnsi="Times New Roman"/>
          <w:i/>
          <w:color w:val="000000"/>
          <w:sz w:val="20"/>
        </w:rPr>
        <w:t>Nine months ended September 30, 2025, and 2024</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EMEA - Net revenue for the EMEA region increased by $30.0 million or 139.8% for the nine months ended September 30, 2025, as compared to the same period in 2024, which is driven primarily by an increase of $26.5 million and $3.1 million in net revenue from our MLPE and GO ESS product lines, respectively. The growth was primarily driven by higher demand of our MLPE products in the Germany, Czech Republic, United Kingdom, Italy and Poland, in addition to the sale of $3.1 million of our GO ESS product lines to a customer in Italy.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Americas - Net revenue for the Americas region increased by $8.8 million or 102.9% for the nine months ended September 30, 2025, as compared to the same period in 2024, which is driven primarily by increases of $6.1 million, $1.7 million, and $0.6 million in net revenue from our MLPE product line, GO ESS product lines and royalty revenue, respectively. This growth was primarily attributable to increased demand in the United States, driven by higher sales of our MLPE product line, increased promotional activities for our GO ESS product line, and increased royalty revenue resulting from a new royalty agreement entered into during the nine months ended September 30,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APAC - Net revenue for the APAC region decreased by $2.0 million or 28.7% for the nine months ended September 30, 2025, as compared to the same period in 2024, which is driven primarily by a decrease of $1.9 million in net revenue from our MLPE product line. This decrease was primarily driven by lower demand of our MLPE products in Singapore, Philippines and Australia. </w:t>
      </w:r>
    </w:p>
    <w:p>
      <w:pPr>
        <w:pStyle w:val="Heading2"/>
        <w:bidi w:val="0"/>
        <w:spacing w:before="360" w:after="283"/>
        <w:jc w:val="both"/>
        <w:rPr>
          <w:rFonts w:ascii="Times New Roman" w:hAnsi="Times New Roman"/>
          <w:i/>
          <w:color w:val="000000"/>
          <w:sz w:val="20"/>
        </w:rPr>
      </w:pPr>
      <w:r>
        <w:rPr>
          <w:rFonts w:ascii="Times New Roman" w:hAnsi="Times New Roman"/>
          <w:i/>
          <w:color w:val="000000"/>
          <w:sz w:val="20"/>
        </w:rPr>
        <w:t>Cost of Revenues and Gross Profit</w:t>
      </w:r>
    </w:p>
    <w:p>
      <w:pPr>
        <w:pStyle w:val="Heading2"/>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146"/>
        <w:gridCol w:w="196"/>
        <w:gridCol w:w="601"/>
        <w:gridCol w:w="241"/>
        <w:gridCol w:w="146"/>
        <w:gridCol w:w="196"/>
        <w:gridCol w:w="601"/>
        <w:gridCol w:w="241"/>
        <w:gridCol w:w="146"/>
        <w:gridCol w:w="196"/>
        <w:gridCol w:w="601"/>
        <w:gridCol w:w="146"/>
        <w:gridCol w:w="146"/>
        <w:gridCol w:w="146"/>
        <w:gridCol w:w="511"/>
        <w:gridCol w:w="241"/>
        <w:gridCol w:w="146"/>
        <w:gridCol w:w="196"/>
        <w:gridCol w:w="601"/>
        <w:gridCol w:w="241"/>
        <w:gridCol w:w="146"/>
        <w:gridCol w:w="196"/>
        <w:gridCol w:w="601"/>
        <w:gridCol w:w="241"/>
        <w:gridCol w:w="146"/>
        <w:gridCol w:w="196"/>
        <w:gridCol w:w="601"/>
        <w:gridCol w:w="146"/>
        <w:gridCol w:w="146"/>
        <w:gridCol w:w="146"/>
        <w:gridCol w:w="511"/>
        <w:gridCol w:w="286"/>
      </w:tblGrid>
      <w:tr>
        <w:trPr/>
        <w:tc>
          <w:tcPr>
            <w:tcW w:w="1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17,552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12,463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42,510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28,333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30,997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September 30, 2025, and 2024</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Cost of revenues increased by $5.1 million or 40.8% and gross profit increased by $11.3 million or 636.2% for the three months ended September 30, 2025, as compared to the same period in 2024, which is primarily driven by an 115.0% increase in net revenue for the three months ended September 30, 2025, compared to the same period in 2024. In addition to higher net revenue, the increase was driven by an increase of $0.6 million in customs fees primarily associated with the tariffs that were enacted in 2025. The increase was partially offset by higher sales volumes that included GO ESS inventory previously impaired in the second half of 2024.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Gross margin increased by 30.2 percentage points for the three months ended September 30, 2025, as compared to the same period in 2024. The increase was primarily driven by lower excess and obsolete inventory expense and higher-margin sales of previously reserved GO ESS inventory, resulting from reserves established in the second half of 2024.</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Nine months ended September 30, 2025, and 2024</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Cost of revenues increased by $14.2 million or 50.0% and gross profit increased by $22.6 million or 268.7% for the nine months ended September 30, 2025, as compared to the same period in 2024, which is primarily driven by a 100.1% increase in net revenue for the nine months ended September 30, 2025, compared to the same period in 2024. In addition to higher net revenue, the increase was driven by higher product warranty expense, primarily due to an increased number of units sold during the period, as well as a change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estimated service delivery costs, which increased due to current macroeconomic conditions. Costs of revenues was also driven by an increase of $0.9 million in customs fees primarily associated with the tariffs that were enacted in 2025. The increase was partially offset by higher sales volumes that included GO ESS inventory previously impaired in the second half of 2024.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Gross margin increased by 19.3 percentage points for the nine months ended September 30, 2025, as compared to the same period in 2024. The increase was primarily driven by lower excess and obsolete inventory expense and higher-margin sales of previously reserved GO ESS inventory, resulting from reserves established in the second half of 2024.</w:t>
      </w:r>
    </w:p>
    <w:p>
      <w:pPr>
        <w:pStyle w:val="Heading2"/>
        <w:bidi w:val="0"/>
        <w:spacing w:before="120" w:after="283"/>
        <w:jc w:val="both"/>
        <w:rPr>
          <w:rFonts w:ascii="Times New Roman" w:hAnsi="Times New Roman"/>
          <w:i/>
          <w:color w:val="000000"/>
          <w:sz w:val="20"/>
        </w:rPr>
      </w:pPr>
      <w:r>
        <w:rPr>
          <w:rFonts w:ascii="Times New Roman" w:hAnsi="Times New Roman"/>
          <w:i/>
          <w:color w:val="000000"/>
          <w:sz w:val="20"/>
        </w:rPr>
        <w:t>Research and Development</w:t>
      </w:r>
    </w:p>
    <w:p>
      <w:pPr>
        <w:pStyle w:val="Heading2"/>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31"/>
        <w:gridCol w:w="146"/>
        <w:gridCol w:w="196"/>
        <w:gridCol w:w="511"/>
        <w:gridCol w:w="241"/>
        <w:gridCol w:w="146"/>
        <w:gridCol w:w="196"/>
        <w:gridCol w:w="511"/>
        <w:gridCol w:w="241"/>
        <w:gridCol w:w="146"/>
        <w:gridCol w:w="196"/>
        <w:gridCol w:w="286"/>
        <w:gridCol w:w="146"/>
        <w:gridCol w:w="146"/>
        <w:gridCol w:w="146"/>
        <w:gridCol w:w="331"/>
        <w:gridCol w:w="241"/>
        <w:gridCol w:w="146"/>
        <w:gridCol w:w="196"/>
        <w:gridCol w:w="511"/>
        <w:gridCol w:w="241"/>
        <w:gridCol w:w="146"/>
        <w:gridCol w:w="196"/>
        <w:gridCol w:w="511"/>
        <w:gridCol w:w="241"/>
        <w:gridCol w:w="146"/>
        <w:gridCol w:w="196"/>
        <w:gridCol w:w="436"/>
        <w:gridCol w:w="166"/>
        <w:gridCol w:w="146"/>
        <w:gridCol w:w="146"/>
        <w:gridCol w:w="391"/>
        <w:gridCol w:w="333"/>
      </w:tblGrid>
      <w:tr>
        <w:trPr/>
        <w:tc>
          <w:tcPr>
            <w:tcW w:w="2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Percentage of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September 30, 2025, and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 increased by a de minimis amount for the three months ended September 30, 2025, as compared to the same period in 2024.</w:t>
      </w:r>
    </w:p>
    <w:p>
      <w:pPr>
        <w:pStyle w:val="TextBody"/>
        <w:bidi w:val="0"/>
        <w:spacing w:before="360" w:after="120"/>
        <w:jc w:val="both"/>
        <w:rPr>
          <w:rFonts w:ascii="Times New Roman" w:hAnsi="Times New Roman"/>
          <w:i/>
          <w:color w:val="000000"/>
          <w:sz w:val="20"/>
        </w:rPr>
      </w:pPr>
      <w:r>
        <w:rPr>
          <w:rFonts w:ascii="Times New Roman" w:hAnsi="Times New Roman"/>
          <w:i/>
          <w:color w:val="000000"/>
          <w:sz w:val="20"/>
        </w:rPr>
        <w:t>Nine months ended September 30, 2025, and 2024</w:t>
      </w:r>
    </w:p>
    <w:p>
      <w:pPr>
        <w:pStyle w:val="TextBody"/>
        <w:bidi w:val="0"/>
        <w:jc w:val="both"/>
        <w:rPr>
          <w:rFonts w:ascii="Times New Roman" w:hAnsi="Times New Roman"/>
          <w:color w:val="000000"/>
          <w:sz w:val="20"/>
        </w:rPr>
      </w:pPr>
      <w:r>
        <w:rPr>
          <w:rFonts w:ascii="Times New Roman" w:hAnsi="Times New Roman"/>
          <w:color w:val="000000"/>
          <w:sz w:val="20"/>
        </w:rPr>
        <w:t>Research and development expense decreased by $0.7 million or 8.9% for the nine months ended September 30, 2025, as compared to the same period in 2024. The decrease is attributed to reduced payroll expense resulting from lower headcount during the nine months ended September 30, 2025, compared to the same period in 2024, primarily due to the previously disclosed workforce reductions of 10% in April 2024 that were implemented in response to the industry-wide slowdown in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amount of research and development expenses may fluctuate from period to period due to differing levels and stages of development activity. </w:t>
      </w:r>
    </w:p>
    <w:p>
      <w:pPr>
        <w:pStyle w:val="Heading2"/>
        <w:bidi w:val="0"/>
        <w:spacing w:before="360" w:after="283"/>
        <w:jc w:val="both"/>
        <w:rPr>
          <w:rFonts w:ascii="Times New Roman" w:hAnsi="Times New Roman"/>
          <w:i/>
          <w:color w:val="000000"/>
          <w:sz w:val="20"/>
        </w:rPr>
      </w:pPr>
      <w:r>
        <w:rPr>
          <w:rFonts w:ascii="Times New Roman" w:hAnsi="Times New Roman"/>
          <w:i/>
          <w:color w:val="000000"/>
          <w:sz w:val="20"/>
        </w:rPr>
        <w:t>Sales and Marketing</w:t>
      </w:r>
    </w:p>
    <w:p>
      <w:pPr>
        <w:pStyle w:val="Heading2"/>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71"/>
        <w:gridCol w:w="146"/>
        <w:gridCol w:w="196"/>
        <w:gridCol w:w="511"/>
        <w:gridCol w:w="241"/>
        <w:gridCol w:w="146"/>
        <w:gridCol w:w="196"/>
        <w:gridCol w:w="511"/>
        <w:gridCol w:w="241"/>
        <w:gridCol w:w="146"/>
        <w:gridCol w:w="196"/>
        <w:gridCol w:w="376"/>
        <w:gridCol w:w="146"/>
        <w:gridCol w:w="146"/>
        <w:gridCol w:w="146"/>
        <w:gridCol w:w="331"/>
        <w:gridCol w:w="241"/>
        <w:gridCol w:w="146"/>
        <w:gridCol w:w="196"/>
        <w:gridCol w:w="601"/>
        <w:gridCol w:w="241"/>
        <w:gridCol w:w="146"/>
        <w:gridCol w:w="196"/>
        <w:gridCol w:w="601"/>
        <w:gridCol w:w="241"/>
        <w:gridCol w:w="146"/>
        <w:gridCol w:w="196"/>
        <w:gridCol w:w="436"/>
        <w:gridCol w:w="166"/>
        <w:gridCol w:w="146"/>
        <w:gridCol w:w="146"/>
        <w:gridCol w:w="391"/>
        <w:gridCol w:w="323"/>
      </w:tblGrid>
      <w:tr>
        <w:trPr/>
        <w:tc>
          <w:tcPr>
            <w:tcW w:w="1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12,843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Percentage of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September 30, 2025, and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and marketing expense increased by a de minimis amount for the three months ended September 30, 2025, as compared to the same period in 2024.</w:t>
      </w:r>
    </w:p>
    <w:p>
      <w:pPr>
        <w:pStyle w:val="TextBody"/>
        <w:bidi w:val="0"/>
        <w:spacing w:before="360" w:after="120"/>
        <w:jc w:val="both"/>
        <w:rPr>
          <w:rFonts w:ascii="Times New Roman" w:hAnsi="Times New Roman"/>
          <w:i/>
          <w:color w:val="000000"/>
          <w:sz w:val="20"/>
        </w:rPr>
      </w:pPr>
      <w:r>
        <w:rPr>
          <w:rFonts w:ascii="Times New Roman" w:hAnsi="Times New Roman"/>
          <w:i/>
          <w:color w:val="000000"/>
          <w:sz w:val="20"/>
        </w:rPr>
        <w:t>Nine months ended September 30, 2025, and 2024</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Sales and marketing expense decreased by a de minimis amount for the nine months ended September 30, 2025, as compared to the same period in 2024. </w:t>
      </w:r>
    </w:p>
    <w:p>
      <w:pPr>
        <w:pStyle w:val="Heading2"/>
        <w:bidi w:val="0"/>
        <w:spacing w:before="200" w:after="283"/>
        <w:jc w:val="both"/>
        <w:rPr>
          <w:rFonts w:ascii="Times New Roman" w:hAnsi="Times New Roman"/>
          <w:i/>
          <w:color w:val="000000"/>
          <w:sz w:val="20"/>
        </w:rPr>
      </w:pPr>
      <w:r>
        <w:rPr>
          <w:rFonts w:ascii="Times New Roman" w:hAnsi="Times New Roman"/>
          <w:i/>
          <w:color w:val="000000"/>
          <w:sz w:val="20"/>
        </w:rPr>
        <w:t>General and Administrative</w:t>
      </w:r>
    </w:p>
    <w:p>
      <w:pPr>
        <w:pStyle w:val="Heading2"/>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38"/>
        <w:gridCol w:w="146"/>
        <w:gridCol w:w="196"/>
        <w:gridCol w:w="511"/>
        <w:gridCol w:w="241"/>
        <w:gridCol w:w="146"/>
        <w:gridCol w:w="196"/>
        <w:gridCol w:w="511"/>
        <w:gridCol w:w="241"/>
        <w:gridCol w:w="146"/>
        <w:gridCol w:w="196"/>
        <w:gridCol w:w="286"/>
        <w:gridCol w:w="146"/>
        <w:gridCol w:w="146"/>
        <w:gridCol w:w="146"/>
        <w:gridCol w:w="331"/>
        <w:gridCol w:w="241"/>
        <w:gridCol w:w="146"/>
        <w:gridCol w:w="196"/>
        <w:gridCol w:w="601"/>
        <w:gridCol w:w="241"/>
        <w:gridCol w:w="146"/>
        <w:gridCol w:w="196"/>
        <w:gridCol w:w="601"/>
        <w:gridCol w:w="241"/>
        <w:gridCol w:w="146"/>
        <w:gridCol w:w="196"/>
        <w:gridCol w:w="376"/>
        <w:gridCol w:w="146"/>
        <w:gridCol w:w="146"/>
        <w:gridCol w:w="146"/>
        <w:gridCol w:w="331"/>
        <w:gridCol w:w="286"/>
      </w:tblGrid>
      <w:tr>
        <w:trPr/>
        <w:tc>
          <w:tcPr>
            <w:tcW w:w="22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16,054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15,671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Percentage of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both"/>
        <w:rPr>
          <w:rFonts w:ascii="Times New Roman" w:hAnsi="Times New Roman"/>
          <w:i/>
          <w:color w:val="000000"/>
          <w:sz w:val="20"/>
        </w:rPr>
      </w:pPr>
      <w:r>
        <w:rPr>
          <w:rFonts w:ascii="Times New Roman" w:hAnsi="Times New Roman"/>
          <w:i/>
          <w:color w:val="000000"/>
          <w:sz w:val="20"/>
        </w:rPr>
        <w:t>Three months and nine months ended September 30, 2025, and 2024</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General and administrative expense increased by a de minimis amount for the three and nine months ended September 30, 2025, as compared to the same periods in 2024.</w:t>
      </w:r>
    </w:p>
    <w:p>
      <w:pPr>
        <w:pStyle w:val="Heading2"/>
        <w:bidi w:val="0"/>
        <w:spacing w:before="240" w:after="283"/>
        <w:jc w:val="both"/>
        <w:rPr>
          <w:rFonts w:ascii="Times New Roman" w:hAnsi="Times New Roman"/>
          <w:i/>
          <w:color w:val="000000"/>
          <w:sz w:val="20"/>
        </w:rPr>
      </w:pPr>
      <w:r>
        <w:rPr>
          <w:rFonts w:ascii="Times New Roman" w:hAnsi="Times New Roman"/>
          <w:i/>
          <w:color w:val="000000"/>
          <w:sz w:val="20"/>
        </w:rPr>
        <w:t>Other Expenses, Net</w:t>
      </w:r>
    </w:p>
    <w:p>
      <w:pPr>
        <w:pStyle w:val="Heading2"/>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42"/>
        <w:gridCol w:w="146"/>
        <w:gridCol w:w="196"/>
        <w:gridCol w:w="511"/>
        <w:gridCol w:w="166"/>
        <w:gridCol w:w="146"/>
        <w:gridCol w:w="196"/>
        <w:gridCol w:w="511"/>
        <w:gridCol w:w="166"/>
        <w:gridCol w:w="146"/>
        <w:gridCol w:w="196"/>
        <w:gridCol w:w="436"/>
        <w:gridCol w:w="166"/>
        <w:gridCol w:w="146"/>
        <w:gridCol w:w="146"/>
        <w:gridCol w:w="571"/>
        <w:gridCol w:w="263"/>
        <w:gridCol w:w="146"/>
        <w:gridCol w:w="196"/>
        <w:gridCol w:w="511"/>
        <w:gridCol w:w="166"/>
        <w:gridCol w:w="146"/>
        <w:gridCol w:w="196"/>
        <w:gridCol w:w="511"/>
        <w:gridCol w:w="166"/>
        <w:gridCol w:w="146"/>
        <w:gridCol w:w="196"/>
        <w:gridCol w:w="436"/>
        <w:gridCol w:w="166"/>
        <w:gridCol w:w="146"/>
        <w:gridCol w:w="146"/>
        <w:gridCol w:w="571"/>
        <w:gridCol w:w="310"/>
      </w:tblGrid>
      <w:tr>
        <w:trPr/>
        <w:tc>
          <w:tcPr>
            <w:tcW w:w="1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9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fair value of contingent shares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other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360" w:after="120"/>
        <w:jc w:val="both"/>
        <w:rPr>
          <w:rFonts w:ascii="Times New Roman" w:hAnsi="Times New Roman"/>
          <w:i/>
          <w:color w:val="000000"/>
          <w:sz w:val="20"/>
        </w:rPr>
      </w:pPr>
      <w:r>
        <w:rPr>
          <w:rFonts w:ascii="Times New Roman" w:hAnsi="Times New Roman"/>
          <w:i/>
          <w:color w:val="000000"/>
          <w:sz w:val="20"/>
        </w:rPr>
        <w:t>Three months and nine months ended September 30, 2025, and 2024</w:t>
      </w:r>
    </w:p>
    <w:p>
      <w:pPr>
        <w:pStyle w:val="TextBody"/>
        <w:bidi w:val="0"/>
        <w:jc w:val="both"/>
        <w:rPr>
          <w:rFonts w:ascii="Times New Roman" w:hAnsi="Times New Roman"/>
          <w:color w:val="000000"/>
          <w:sz w:val="20"/>
        </w:rPr>
      </w:pPr>
      <w:r>
        <w:rPr>
          <w:rFonts w:ascii="Times New Roman" w:hAnsi="Times New Roman"/>
          <w:color w:val="000000"/>
          <w:sz w:val="20"/>
        </w:rPr>
        <w:t>The change in fair value of contingent shares liability for the three and nine months ended September 30, 2024, was attributable to the revaluation of the contingent shares at each reporting period based on the Company’s share price as of the revaluation date. The final release of the contingent shares occurred on July 25,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expense increased by a de minimis amount for the three and nine months ended September 30, 2025, as compared to the same periods in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income, net decreased by a de minimis amount for the three and nine months ended September 30, 2025, as compared to the same periods in 2024.</w:t>
      </w:r>
    </w:p>
    <w:p>
      <w:pPr>
        <w:pStyle w:val="Heading2"/>
        <w:bidi w:val="0"/>
        <w:spacing w:before="360" w:after="283"/>
        <w:jc w:val="both"/>
        <w:rPr>
          <w:rFonts w:ascii="Times New Roman" w:hAnsi="Times New Roman"/>
          <w:i/>
          <w:color w:val="000000"/>
          <w:sz w:val="20"/>
        </w:rPr>
      </w:pPr>
      <w:r>
        <w:rPr>
          <w:rFonts w:ascii="Times New Roman" w:hAnsi="Times New Roman"/>
          <w:i/>
          <w:color w:val="000000"/>
          <w:sz w:val="20"/>
        </w:rPr>
        <w:t>Income Tax Expense</w:t>
      </w:r>
    </w:p>
    <w:p>
      <w:pPr>
        <w:pStyle w:val="Heading2"/>
        <w:bidi w:val="0"/>
        <w:jc w:val="both"/>
        <w:rPr/>
      </w:pPr>
      <w:r>
        <w:rPr/>
        <w:t> </w:t>
      </w:r>
    </w:p>
    <w:tbl>
      <w:tblPr>
        <w:tblW w:w="8749" w:type="dxa"/>
        <w:jc w:val="left"/>
        <w:tblInd w:w="0" w:type="dxa"/>
        <w:tblLayout w:type="fixed"/>
        <w:tblCellMar>
          <w:top w:w="28" w:type="dxa"/>
          <w:left w:w="28" w:type="dxa"/>
          <w:bottom w:w="28" w:type="dxa"/>
          <w:right w:w="28" w:type="dxa"/>
        </w:tblCellMar>
      </w:tblPr>
      <w:tblGrid>
        <w:gridCol w:w="2596"/>
        <w:gridCol w:w="146"/>
        <w:gridCol w:w="196"/>
        <w:gridCol w:w="376"/>
        <w:gridCol w:w="146"/>
        <w:gridCol w:w="146"/>
        <w:gridCol w:w="196"/>
        <w:gridCol w:w="346"/>
        <w:gridCol w:w="146"/>
        <w:gridCol w:w="146"/>
        <w:gridCol w:w="196"/>
        <w:gridCol w:w="376"/>
        <w:gridCol w:w="146"/>
        <w:gridCol w:w="146"/>
        <w:gridCol w:w="376"/>
        <w:gridCol w:w="146"/>
        <w:gridCol w:w="196"/>
        <w:gridCol w:w="376"/>
        <w:gridCol w:w="146"/>
        <w:gridCol w:w="146"/>
        <w:gridCol w:w="196"/>
        <w:gridCol w:w="286"/>
        <w:gridCol w:w="146"/>
        <w:gridCol w:w="146"/>
        <w:gridCol w:w="196"/>
        <w:gridCol w:w="376"/>
        <w:gridCol w:w="146"/>
        <w:gridCol w:w="146"/>
        <w:gridCol w:w="42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8"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23"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r>
    </w:tbl>
    <w:p>
      <w:pPr>
        <w:pStyle w:val="TextBody"/>
        <w:bidi w:val="0"/>
        <w:spacing w:before="360" w:after="120"/>
        <w:jc w:val="both"/>
        <w:rPr>
          <w:rFonts w:ascii="Times New Roman" w:hAnsi="Times New Roman"/>
          <w:i/>
          <w:color w:val="000000"/>
          <w:sz w:val="20"/>
        </w:rPr>
      </w:pPr>
      <w:r>
        <w:rPr>
          <w:rFonts w:ascii="Times New Roman" w:hAnsi="Times New Roman"/>
          <w:i/>
          <w:color w:val="000000"/>
          <w:sz w:val="20"/>
        </w:rPr>
        <w:t>Three months ended September 30, 2025, and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Income tax expense increased by a de minimis amount for the three and nine months ended September 30, 2025, as compared to the same periods in 2024. For more information, see Note 13, “Income Taxes” of the notes to condensed consolidated financial statements included in Part I, Item 1 of this Quarterly Report on Form 10-Q.</w:t>
      </w:r>
    </w:p>
    <w:p>
      <w:pPr>
        <w:pStyle w:val="TextBody"/>
        <w:bidi w:val="0"/>
        <w:spacing w:before="360" w:after="120"/>
        <w:jc w:val="both"/>
        <w:rPr>
          <w:rFonts w:ascii="Times New Roman" w:hAnsi="Times New Roman"/>
          <w:i/>
          <w:color w:val="000000"/>
          <w:sz w:val="20"/>
        </w:rPr>
      </w:pPr>
      <w:r>
        <w:rPr>
          <w:rFonts w:ascii="Times New Roman" w:hAnsi="Times New Roman"/>
          <w:i/>
          <w:color w:val="000000"/>
          <w:sz w:val="20"/>
        </w:rPr>
        <w:t>Nine months ended September 30, 2025, and 2024</w:t>
      </w:r>
    </w:p>
    <w:p>
      <w:pPr>
        <w:pStyle w:val="TextBody"/>
        <w:bidi w:val="0"/>
        <w:jc w:val="both"/>
        <w:rPr>
          <w:rFonts w:ascii="Times New Roman" w:hAnsi="Times New Roman"/>
          <w:sz w:val="20"/>
        </w:rPr>
      </w:pPr>
      <w:r>
        <w:rPr>
          <w:rFonts w:ascii="Times New Roman" w:hAnsi="Times New Roman"/>
          <w:color w:val="000000"/>
          <w:sz w:val="20"/>
        </w:rPr>
        <w:t>Income tax expense increased $0.7 million for the nine months ended September 30, 2025</w:t>
      </w:r>
      <w:r>
        <w:rPr>
          <w:rFonts w:ascii="Times New Roman" w:hAnsi="Times New Roman"/>
          <w:i/>
          <w:color w:val="000000"/>
          <w:sz w:val="20"/>
        </w:rPr>
        <w:t xml:space="preserve">, </w:t>
      </w:r>
      <w:r>
        <w:rPr>
          <w:rFonts w:ascii="Times New Roman" w:hAnsi="Times New Roman"/>
          <w:color w:val="000000"/>
          <w:sz w:val="20"/>
        </w:rPr>
        <w:t>as compared to the same period in 2024, primarily related to a settlement of a foreign tax examination. For more information, see Note 13, “Income Taxes” of the notes to condensed consolidated financial statements included in Part I, Item 1 of this Quarterly Report on Form 10-Q.</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Going Concern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September 30, 2025, our principal sources of liquidity were cash and cash equivalents and marketable securities of $40.3 million and working capital, which we define as current assets less current liabilities, of $2.9 million. Our principal uses of cash are for funding our operations, capital expenditures, other working capital requirements, other investments and the repayment of our Convertible Promissory Note (as defined below) due in January 2026. </w:t>
      </w:r>
    </w:p>
    <w:p>
      <w:pPr>
        <w:pStyle w:val="TextBody"/>
        <w:bidi w:val="0"/>
        <w:spacing w:before="240" w:after="160"/>
        <w:jc w:val="both"/>
        <w:rPr>
          <w:rFonts w:ascii="Times New Roman" w:hAnsi="Times New Roman"/>
          <w:sz w:val="20"/>
        </w:rPr>
      </w:pPr>
      <w:r>
        <w:rPr>
          <w:rFonts w:ascii="Times New Roman" w:hAnsi="Times New Roman"/>
          <w:color w:val="000000"/>
          <w:sz w:val="20"/>
        </w:rPr>
        <w:t xml:space="preserve">In accordance with </w:t>
      </w:r>
      <w:r>
        <w:rPr>
          <w:rFonts w:ascii="Times New Roman" w:hAnsi="Times New Roman"/>
          <w:i/>
          <w:color w:val="000000"/>
          <w:sz w:val="20"/>
        </w:rPr>
        <w:t xml:space="preserve">ASU No. 2014-15, Disclosure of Uncertainties about an Entity’s Ability to Continue as a Going Concern </w:t>
      </w:r>
      <w:r>
        <w:rPr>
          <w:rFonts w:ascii="Times New Roman" w:hAnsi="Times New Roman"/>
          <w:color w:val="000000"/>
          <w:sz w:val="20"/>
        </w:rPr>
        <w:t xml:space="preserve">(“Subtopic 205-40”), we evaluated whether there are conditions and events, considered in the aggregate, that raise substantial doubt about our ability to continue as a going concern within one year after the date that the consolidated financial statements are issued. The Convertible Promissory Note, which has an aggregate principal amount outstanding of $50.0 million as of September 30, 2025, has a maturity date of January 9, 2026. See Note 7, “Debt,” of the notes to condensed consolidated financial statements for additional information regarding the Convertible Promissory Note. Management determined as a result of this evaluation, our current cash, working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capital position, and upcoming maturity date of its Convertible Promissory Note, raises substantial doubt about our ability to continue as a going concern within one year after the date that the consolidated financial statements are issued.</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The Company is exploring options for the refinancing of, or other transactions to facilitate the payment of, the Convertible Promissory Note. Our ability to raise capital may be constrained by the price of and demand for our common stock. Additional capital may not be available on favorable terms or at all, and could further dilute our current stockholders. Management cannot conclude as of the date of this filing that its plans are probable of being successfully implemented. There can be no assurance that we will be able to raise sufficient additional capital or obtain financing that will provide it with sufficient liquidity to satisfy its Convertible Promissory Note obligation in January 2026.</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The condensed consolidated financial statements have been prepared on a basis that assumes we will continue as a going concern which contemplates the realization of assets and satisfaction of liabilities and commitments in the ordinary course of business. Accordingly, the accompanying condensed consolidated financial statements do not include any adjustments that might result from the outcome of this uncertainty.</w:t>
      </w:r>
    </w:p>
    <w:p>
      <w:pPr>
        <w:pStyle w:val="TextBody"/>
        <w:bidi w:val="0"/>
        <w:spacing w:before="80" w:after="283"/>
        <w:jc w:val="both"/>
        <w:rPr>
          <w:rFonts w:ascii="Times New Roman" w:hAnsi="Times New Roman"/>
          <w:sz w:val="20"/>
        </w:rPr>
      </w:pPr>
      <w:r>
        <w:rPr>
          <w:rFonts w:ascii="Times New Roman" w:hAnsi="Times New Roman"/>
          <w:b/>
          <w:i/>
          <w:color w:val="000000"/>
          <w:sz w:val="20"/>
        </w:rPr>
        <w:t>At-the-market offering.</w:t>
      </w:r>
      <w:r>
        <w:rPr>
          <w:rFonts w:ascii="Times New Roman" w:hAnsi="Times New Roman"/>
          <w:color w:val="000000"/>
          <w:sz w:val="20"/>
        </w:rPr>
        <w:t xml:space="preserve"> In November 2024, we entered into the ATM Agreement with the Sales Agent, pursuant to which we may offer and sell shares of our common stock having an aggregate gross sales price of up to $14.2 million, from time to time, through the Sales Agent in transactions deemed to be “at-the-market” offerings under federal securities laws (the “2024 ATM Program”). The offering of Shares pursuant to the ATM Agreement will terminate upon (a) five business days’ advance notice from us to the Sales Agent or five business days’ advance notice from the Sales Agent to us or (b) otherwise by mutual agreement of the parties pursuant to the terms of the ATM Agreement. Sales under the 2024 ATM Program are subject to a maximum commission of up to 3.0% of the gross proceeds per share sold through the Sales Agent.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nine months ended September 30, 2025, a total of 7,472,428 shares of common stock were issued pursuant to the Sales Agreement for aggregate gross proceeds of approximately $12.0 million, before deducting commissions and offering expenses payable by us. As of September 30, 2025, $2.2 million remained available under the ATM Agreement. Refer to Note 9, “Common Stock”, in Part I, Item 1 of this Quarterly Report on Form 10-Q for additional information.</w:t>
      </w:r>
    </w:p>
    <w:p>
      <w:pPr>
        <w:pStyle w:val="TextBody"/>
        <w:bidi w:val="0"/>
        <w:spacing w:before="240" w:after="283"/>
        <w:jc w:val="both"/>
        <w:rPr>
          <w:rFonts w:ascii="Times New Roman" w:hAnsi="Times New Roman"/>
          <w:sz w:val="20"/>
        </w:rPr>
      </w:pPr>
      <w:r>
        <w:rPr>
          <w:rFonts w:ascii="Times New Roman" w:hAnsi="Times New Roman"/>
          <w:b/>
          <w:i/>
          <w:color w:val="000000"/>
          <w:sz w:val="20"/>
        </w:rPr>
        <w:t>Convertible Note.</w:t>
      </w:r>
      <w:r>
        <w:rPr>
          <w:rFonts w:ascii="Times New Roman" w:hAnsi="Times New Roman"/>
          <w:color w:val="000000"/>
          <w:sz w:val="20"/>
        </w:rPr>
        <w:t xml:space="preserve"> As of September 30, 2025, our Convertible Note obligation was $50.0 million. Upon reaching the maturity date of the Convertible Note, January 9, 2026, we would need to pay cash or issue shares of common stock equal to the aggregate principal amount of the Convertible Note to be converted. As noted above, there is substantial doubt about our ability to continue as a going concern within one year after the date that the consolidated financial statements are issued due to the upcoming maturity date of the Convertible Note. Management continues to explore options to address the substantial doubt, however there can be no assurance that we will be able to raise sufficient additional capital or obtain financing that will provide it with sufficient liquidity to satisfy the Convertible Promissory Note obligation. Refer to the section above for more information regarding our going concern analysis and management’s plan to address the substantial doubt. Refer to Note 7, in Part I, Item 1 of this Quarterly Report on Form 10-Q for additional information.</w:t>
      </w:r>
    </w:p>
    <w:p>
      <w:pPr>
        <w:pStyle w:val="Heading2"/>
        <w:bidi w:val="0"/>
        <w:spacing w:before="360" w:after="283"/>
        <w:jc w:val="both"/>
        <w:rPr>
          <w:rFonts w:ascii="Times New Roman" w:hAnsi="Times New Roman"/>
          <w:sz w:val="20"/>
        </w:rPr>
      </w:pPr>
      <w:r>
        <w:rPr>
          <w:rFonts w:ascii="Times New Roman" w:hAnsi="Times New Roman"/>
          <w:i/>
          <w:color w:val="000000"/>
          <w:sz w:val="20"/>
        </w:rPr>
        <w:t>Cash Flows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w:t>
      </w:r>
    </w:p>
    <w:p>
      <w:pPr>
        <w:pStyle w:val="TextBody"/>
        <w:bidi w:val="0"/>
        <w:jc w:val="left"/>
        <w:rPr/>
      </w:pPr>
      <w:r>
        <w:rPr/>
        <w:t> </w:t>
      </w:r>
    </w:p>
    <w:tbl>
      <w:tblPr>
        <w:tblW w:w="6625" w:type="dxa"/>
        <w:jc w:val="left"/>
        <w:tblInd w:w="0" w:type="dxa"/>
        <w:tblLayout w:type="fixed"/>
        <w:tblCellMar>
          <w:top w:w="28" w:type="dxa"/>
          <w:left w:w="28" w:type="dxa"/>
          <w:bottom w:w="28" w:type="dxa"/>
          <w:right w:w="28" w:type="dxa"/>
        </w:tblCellMar>
      </w:tblPr>
      <w:tblGrid>
        <w:gridCol w:w="3676"/>
        <w:gridCol w:w="146"/>
        <w:gridCol w:w="258"/>
        <w:gridCol w:w="793"/>
        <w:gridCol w:w="219"/>
        <w:gridCol w:w="192"/>
        <w:gridCol w:w="258"/>
        <w:gridCol w:w="872"/>
        <w:gridCol w:w="21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8,674</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11,482</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12,722</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Management closely monitors expenditures and is focused on obtaining new customers and continuing to develop our products and services. Cash from operations and our liquidity could also be affected by various risks and uncertainties, including, but not limited to, economic concerns related to tariffs, interest rates, inflation or the supply chain, including timing of cash collections from customers and other risks which are detailed in the section entitled “Cautionary Note Regarding Forward-Looking Statements” included elsewhere in this Quarterly Report on Form 10-Q, including in Part II, Item 1A, “Risk Factors” of this Quarterly Report on Form 10-Q and in Part I, Item 1A, “Risk Factors,” in the 2024 Annual Report.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i/>
          <w:color w:val="000000"/>
          <w:sz w:val="20"/>
        </w:rPr>
        <w:t>Cash Flows Provided By (Used in) 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flows from operating activities consisted of net loss adjusted for certain non-cash reconciling items, such as non-cash interest expense, stock-based compensation expense, provision to write down inventories to net realizable value, depreciation and amortization, and non-cash lease expense, and changes in our operating assets and liabilities. Cash provided by operating activities increased by $22.1 million during the nine months ended September 30, 2025, as compared to the same period in 2024.</w:t>
      </w:r>
    </w:p>
    <w:p>
      <w:pPr>
        <w:pStyle w:val="TextBody"/>
        <w:bidi w:val="0"/>
        <w:spacing w:before="360" w:after="283"/>
        <w:jc w:val="both"/>
        <w:rPr>
          <w:rFonts w:ascii="Times New Roman" w:hAnsi="Times New Roman"/>
          <w:sz w:val="20"/>
        </w:rPr>
      </w:pPr>
      <w:r>
        <w:rPr>
          <w:rFonts w:ascii="Times New Roman" w:hAnsi="Times New Roman"/>
          <w:i/>
          <w:color w:val="000000"/>
          <w:sz w:val="20"/>
        </w:rPr>
        <w:t>Cash Flows (Used in) Provided by 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used in investing activities was $7.4 million for the nine months ended September 30, 2025, which is primarily attributable to the purchase of marketable securities and was partially offset by the sale and maturities of marketable securities. Net cash provided by investing activities was $18.3 million for the nine months ended September 30, 2024, which is primarily attributable to the sale of marketable securities and was partially offset by the purchase of marketable securities and the purchase of property and equipment. </w:t>
      </w:r>
    </w:p>
    <w:p>
      <w:pPr>
        <w:pStyle w:val="TextBody"/>
        <w:bidi w:val="0"/>
        <w:spacing w:before="360" w:after="283"/>
        <w:jc w:val="both"/>
        <w:rPr>
          <w:rFonts w:ascii="Times New Roman" w:hAnsi="Times New Roman"/>
          <w:sz w:val="20"/>
        </w:rPr>
      </w:pPr>
      <w:r>
        <w:rPr>
          <w:rFonts w:ascii="Times New Roman" w:hAnsi="Times New Roman"/>
          <w:i/>
          <w:color w:val="000000"/>
          <w:sz w:val="20"/>
        </w:rPr>
        <w:t>Cash Flows Provided by 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financing activities increased by $11.3 million during the nine months ended September 30, 2025, compared to the same period in 2024 which is primarily attributable to the proceeds from the Company’s at-the-market offering and proceeds from the exercise of stock options.</w:t>
      </w:r>
    </w:p>
    <w:p>
      <w:pPr>
        <w:pStyle w:val="Heading2"/>
        <w:bidi w:val="0"/>
        <w:spacing w:before="360" w:after="120"/>
        <w:jc w:val="both"/>
        <w:rPr>
          <w:rFonts w:ascii="Times New Roman" w:hAnsi="Times New Roman"/>
          <w:color w:val="000000"/>
          <w:sz w:val="20"/>
        </w:rPr>
      </w:pPr>
      <w:r>
        <w:rPr>
          <w:rFonts w:ascii="Times New Roman" w:hAnsi="Times New Roman"/>
          <w:color w:val="000000"/>
          <w:sz w:val="20"/>
        </w:rPr>
        <w:t>Contractual Obligations</w:t>
      </w:r>
    </w:p>
    <w:p>
      <w:pPr>
        <w:pStyle w:val="TextBody"/>
        <w:bidi w:val="0"/>
        <w:jc w:val="both"/>
        <w:rPr>
          <w:rFonts w:ascii="Times New Roman" w:hAnsi="Times New Roman"/>
          <w:color w:val="000000"/>
          <w:sz w:val="20"/>
        </w:rPr>
      </w:pPr>
      <w:r>
        <w:rPr>
          <w:rFonts w:ascii="Times New Roman" w:hAnsi="Times New Roman"/>
          <w:color w:val="000000"/>
          <w:sz w:val="20"/>
        </w:rPr>
        <w:t>Our contractual obligations primarily consist of our Convertible Promissory Note, obligations under operating leases and inventory component purchases. As of September 30, 2025, there have been no material changes from our disclosure in our 2024 Annual Report. For more information on our future minimum operating leases, see Note 11, “Leases” and for more information on our Convertible Promissory Notes and other related debt, see Note 7, “Debt,” of the notes to condensed consolidated financial statements included in Part I, Item 1 of this Quarterly Report on Form 10-Q.</w:t>
      </w:r>
    </w:p>
    <w:p>
      <w:pPr>
        <w:pStyle w:val="Heading2"/>
        <w:bidi w:val="0"/>
        <w:spacing w:before="360" w:after="120"/>
        <w:jc w:val="both"/>
        <w:rPr>
          <w:rFonts w:ascii="Times New Roman" w:hAnsi="Times New Roman"/>
          <w:color w:val="000000"/>
          <w:sz w:val="20"/>
        </w:rPr>
      </w:pPr>
      <w:r>
        <w:rPr>
          <w:rFonts w:ascii="Times New Roman" w:hAnsi="Times New Roman"/>
          <w:color w:val="000000"/>
          <w:sz w:val="20"/>
        </w:rPr>
        <w:t>Off-Balance Sheet Arrangements</w:t>
      </w:r>
    </w:p>
    <w:p>
      <w:pPr>
        <w:pStyle w:val="TextBody"/>
        <w:bidi w:val="0"/>
        <w:jc w:val="both"/>
        <w:rPr>
          <w:rFonts w:ascii="Times New Roman" w:hAnsi="Times New Roman"/>
          <w:color w:val="000000"/>
          <w:sz w:val="20"/>
        </w:rPr>
      </w:pPr>
      <w:r>
        <w:rPr>
          <w:rFonts w:ascii="Times New Roman" w:hAnsi="Times New Roman"/>
          <w:color w:val="000000"/>
          <w:sz w:val="20"/>
        </w:rPr>
        <w:t>During the periods presented, the Company did not have any off-balance sheet arrangements.</w:t>
      </w:r>
    </w:p>
    <w:p>
      <w:pPr>
        <w:pStyle w:val="Heading2"/>
        <w:bidi w:val="0"/>
        <w:spacing w:before="360" w:after="120"/>
        <w:jc w:val="both"/>
        <w:rPr>
          <w:rFonts w:ascii="Times New Roman" w:hAnsi="Times New Roman"/>
          <w:color w:val="000000"/>
          <w:sz w:val="20"/>
        </w:rPr>
      </w:pPr>
      <w:r>
        <w:rPr>
          <w:rFonts w:ascii="Times New Roman" w:hAnsi="Times New Roman"/>
          <w:color w:val="000000"/>
          <w:sz w:val="20"/>
        </w:rPr>
        <w:t>Critical Accounting Estimates</w:t>
      </w:r>
    </w:p>
    <w:p>
      <w:pPr>
        <w:pStyle w:val="TextBody"/>
        <w:bidi w:val="0"/>
        <w:jc w:val="both"/>
        <w:rPr>
          <w:rFonts w:ascii="Times New Roman" w:hAnsi="Times New Roman"/>
          <w:color w:val="000000"/>
          <w:sz w:val="20"/>
        </w:rPr>
      </w:pPr>
      <w:r>
        <w:rPr>
          <w:rFonts w:ascii="Times New Roman" w:hAnsi="Times New Roman"/>
          <w:color w:val="000000"/>
          <w:sz w:val="20"/>
        </w:rPr>
        <w:t>For the period ended September 30, 2025, there have been no material changes to our critical accounting estimates from the information reported in our 2024 Annual Report.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a description of recent accounting pronouncements, including the expected dates of adoption and estimated effects, if any, on the Company’s condensed consolidated financial statements, see Part I, Note 2, “Summary of Significant Accounting Policies”, in the notes to condensed consolidated financial statements in this Quarterly Report on Form 10-Q. </w:t>
      </w:r>
    </w:p>
    <w:p>
      <w:pPr>
        <w:pStyle w:val="Heading2"/>
        <w:bidi w:val="0"/>
        <w:spacing w:before="360" w:after="283"/>
        <w:jc w:val="both"/>
        <w:rPr>
          <w:rFonts w:ascii="Times New Roman" w:hAnsi="Times New Roman"/>
          <w:color w:val="000000"/>
          <w:sz w:val="20"/>
        </w:rPr>
      </w:pPr>
      <w:bookmarkStart w:id="9" w:name="item_3_quantitative_and_qualitative"/>
      <w:bookmarkEnd w:id="9"/>
      <w:r>
        <w:rPr>
          <w:rFonts w:ascii="Times New Roman" w:hAnsi="Times New Roman"/>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“smaller reporting company” as defined by Rule 12b-2 of the Securities Exchange Act of 1934, as amended (the “Exchange Act”), the Company is not required to provide the information required under this item.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both"/>
        <w:rPr>
          <w:rFonts w:ascii="Times New Roman" w:hAnsi="Times New Roman"/>
          <w:color w:val="000000"/>
          <w:sz w:val="20"/>
        </w:rPr>
      </w:pPr>
      <w:bookmarkStart w:id="10" w:name="item_4_controls_and_procedures"/>
      <w:bookmarkEnd w:id="10"/>
      <w:r>
        <w:rPr>
          <w:rFonts w:ascii="Times New Roman" w:hAnsi="Times New Roman"/>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supervision and with the participation of our management, including our Chief Executive Officer and Chief Financial Officer, we conducted an evaluation of the effectiveness of the design and operation of our disclosure controls and procedures as of September 30, 2025, as defined in Rules 13a-15(e) and 15d-15(e) under the Securities Exchange Act of 1934, as amended (the “Exchange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Securities and Exchange Commission’s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upon the evaluation, our Chief Executive Officer and Chief Financial Officer concluded that our disclosure controls were effective as of September 30,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identified in connection with the evaluation required by Rules 13a-15(d) and 15d-15(d) of the Exchange Act that occurred during the three months ended September 30, 2025, that have materially affected, or are reasonably likely to materially affect, our internal control over financial reporting.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Limitations on the Effectiveness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pStyle w:val="Heading2"/>
        <w:bidi w:val="0"/>
        <w:spacing w:before="360" w:after="283"/>
        <w:jc w:val="center"/>
        <w:rPr>
          <w:rFonts w:ascii="Times New Roman" w:hAnsi="Times New Roman"/>
          <w:color w:val="000000"/>
          <w:sz w:val="20"/>
        </w:rPr>
      </w:pPr>
      <w:r>
        <w:rPr>
          <w:rFonts w:ascii="Times New Roman" w:hAnsi="Times New Roman"/>
          <w:color w:val="000000"/>
          <w:sz w:val="20"/>
        </w:rPr>
        <w:t>PART II—OTHER INFORMATION</w:t>
      </w:r>
    </w:p>
    <w:p>
      <w:pPr>
        <w:pStyle w:val="Heading2"/>
        <w:bidi w:val="0"/>
        <w:spacing w:before="240" w:after="283"/>
        <w:jc w:val="left"/>
        <w:rPr>
          <w:rFonts w:ascii="Times New Roman" w:hAnsi="Times New Roman"/>
          <w:color w:val="000000"/>
          <w:sz w:val="20"/>
        </w:rPr>
      </w:pPr>
      <w:bookmarkStart w:id="11" w:name="item_1_legal_proceedings"/>
      <w:bookmarkEnd w:id="11"/>
      <w:r>
        <w:rPr>
          <w:rFonts w:ascii="Times New Roman" w:hAnsi="Times New Roman"/>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the Company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While the Company intends to vigorously defend itself with respect to such disputes, any potential outcomes resulting from such claims would be inherently difficult to quantify.</w:t>
      </w:r>
    </w:p>
    <w:p>
      <w:pPr>
        <w:pStyle w:val="Heading2"/>
        <w:bidi w:val="0"/>
        <w:spacing w:before="360" w:after="283"/>
        <w:jc w:val="left"/>
        <w:rPr>
          <w:rFonts w:ascii="Times New Roman" w:hAnsi="Times New Roman"/>
          <w:color w:val="000000"/>
          <w:sz w:val="20"/>
        </w:rPr>
      </w:pPr>
      <w:bookmarkStart w:id="12" w:name="item_1a_risk_factors"/>
      <w:bookmarkEnd w:id="12"/>
      <w:r>
        <w:rPr>
          <w:rFonts w:ascii="Times New Roman" w:hAnsi="Times New Roman"/>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the other information set forth in this Quarterly Report on Form 10-Q, you should carefully consider the risk factors disclosed in the section entitled “Risk Factors” in Part I, Item 1A, of the 2024 Annual Report, and the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During the period covered by this Quarterly Report on Form 10-Q, there have been no material changes in our risk factors as previously disclosed except the following: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failure to meet the continued listing requirements of Nasdaq could result in a delisting of our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April 3, 2025, we received a letter from Nasdaq indicating that the listing of the Company’s common stock was not in compliance with Nasdaq Listing Rule 5550(a)(2) (the “Minimum Bid Price Requirement”), as the closing bid price of our common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 was less than $1.00 per share over a consecutive 30- trading-day period. Pursuant to Nasdaq Listing Rule 5810(c)(3)(A), we had a period of 180 calendar days, or until September 30, 2025, to regain compliance with the minimum bid price requirement, with the possibility of extension for an additional 180 calendar days if we meet Nasdaq’s continued listing requirement for market value of publicly held shares and all other initial listing standards for the Nasdaq Capital Market with the exception of the minimum bid price requirement.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June 16, 2025, we received a letter from Nasdaq notifying us that we were back in compliance with the Minimum Bid Price Requirement for continued listing on Nasdaq as the closing bid price of our stock had been at $1.00 per share or greater for the last 10 consecutive business days prior to the date of such letter, and the matter is now closed. However, there can be no assurance that we will be able to comply with the Minimum Bid Price Requirement in the future.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fail to satisfy the continued listing requirements of Nasdaq, such as the Minimum Bid Price Requirement, the corporate governance requirements or the minimum stockholders’ equity requirement, Nasdaq may take steps to delist our securities. Such a delisting would likely have a negative effect on the price of the securities and would impair your ability to sell or purchase the securities when you wish to do so. In the event of a delisting, we can provide no assurance that any action taken by us to restore compliance with listing requirements would allow our securities to become listed again, stabilize the market price or improve the liquidity of our securities, prevent our securities from dropping below the Nasdaq minimum bid price requirement or prevent future non-compliance with Nasdaq’s listing requirements. Additionally,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pStyle w:val="TextBody"/>
        <w:bidi w:val="0"/>
        <w:spacing w:before="360" w:after="283"/>
        <w:jc w:val="both"/>
        <w:rPr>
          <w:rFonts w:ascii="Times New Roman" w:hAnsi="Times New Roman"/>
          <w:sz w:val="20"/>
        </w:rPr>
      </w:pPr>
      <w:r>
        <w:rPr>
          <w:rFonts w:ascii="Times New Roman" w:hAnsi="Times New Roman"/>
          <w:b/>
          <w:i/>
          <w:color w:val="000000"/>
          <w:sz w:val="20"/>
        </w:rPr>
        <w:t>The reduction, elimination or expiration of government subsidies and economic incentives for on-grid solar electricity applications could reduce demand for solar PV systems and harm our business.</w:t>
      </w:r>
      <w:r>
        <w:rPr>
          <w:rFonts w:ascii="Times New Roman" w:hAnsi="Times New Roman"/>
          <w:color w:val="000000"/>
          <w:sz w:val="20"/>
        </w:rPr>
        <w:t xml:space="preserve">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Given our dynamic customer makeup across the world, we and our customers are subject to governmental policies applicable to renewable energy development in numerous jurisdictions.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market for on-grid applications, where solar power, on a standalone basis or paired with energy storage systems, is used to supplement a customer’s electricity purchased from the utility network or sold to a utility under tariff, depends in large part on the availability and size of government-issued subsidies and economic incentives that vary by geographic market. Because our customers’ sales of solar power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 </w:t>
      </w:r>
    </w:p>
    <w:p>
      <w:pPr>
        <w:pStyle w:val="TextBody"/>
        <w:bidi w:val="0"/>
        <w:jc w:val="both"/>
        <w:rPr>
          <w:rFonts w:ascii="Times New Roman" w:hAnsi="Times New Roman"/>
          <w:color w:val="000000"/>
          <w:sz w:val="20"/>
        </w:rPr>
      </w:pPr>
      <w:r>
        <w:rPr>
          <w:rFonts w:ascii="Times New Roman" w:hAnsi="Times New Roman"/>
          <w:color w:val="000000"/>
          <w:sz w:val="20"/>
        </w:rPr>
        <w:t xml:space="preserve">National, state and local government bodies in many countries, including the United States, have provided incentives in the form of feed-in tariffs (“FiTs”), NEM tariffs and related policies, rebates, tax credits, tax incentives and other incentives to system owners, distributors, system integrators and manufacturers of solar PV systems and battery energy storage systems to bolster the cost competitiveness of solar electricity in on-grid applications relative to the cost of utility power, and to reduce dependency on other forms of energy. Many of these government incentives expire, phase out over time, have limited funding allocations that require renewal by the applicable jurisdictional authority, or are being changed by governments due to changing market circumstances or changes to national, state or local energy policy.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In July 2025, the OBBB was signed into law, introducing significant changes to clean energy tax credit programs that may impact our financial condition, results of operations and future prospects. The OBBB phases out the Investment Tax Credit (ITC) under Section 25D of the Code for residential solar and storage systems purchased through cash or loans, with the credit now set to expire on December 31, 2025. Additionally, the OBBB imposes new timing requirements for ITCs under Section 48E of the Code, which governs ITCs for leased solar and storage systems. Solar-only projects that do not commence construction within 12 months of the OBBB’s enactment must now be placed in service by December 31, 2027, to retain eligibility. While energy storage systems are exempt from this specific deadline, the ITC under Section 48E of the Code generally for storage begins to phase down in 2034. The ITCs decline to 75% for projects beginning construction in 2034, 50% for projects beginning construction in 2035, and phases out entirely for projects beginning construction in or after 2036. The legislation also raises the domestic content threshold for bonus ITC eligibility under Section 48E of the Code to match the thresholds under Section 45Y of the Code, increasing the required domestic cost share to 45% for projects beginning construction on or after June 16, 2025 and before January 1, 2026. The percentage increases to 50% for projects beginning construction during calendar year 2026 and 55% for projects beginning construction after December 31, 2026. In parallel, the OBBB introduces new compliance requirements under the FEOC provisions applicable to both Section 48E of the Code and the AMPTC under Section 45X of the Code. These provisions establish escalating content sourcing restrictions and other restrictions, generally applicable to taxable years beginning after the date of enactment of the OBBB beginning in 2026, for qualifying solar and storage projects and for manufactured components. These legislative and regulatory developments may negatively impact our eligibility for certain tax credits,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competitiveness of our offerings to solar and storage system lease providers, and the overall demand for our products in the U.S. If we are unable to meet the revised domestic content or FEOC requirements, our ability to qualify for these incentives could be impaired, which may adversely affect our business and results of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several European countries, including Germany, Belgium, Italy, the Netherlands and the United Kingdom, have adopted reductions in or ended their NEM or FiT programs. Certain countries have proposed or enacted taxes levied on renewable energy. These and related developments have significantly impacted the solar industry in Europe and may adversely affect the future demand for solar energy solutions in Europe, which could adversely impact our results of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in regions where we focus our sales efforts could result in decreased demand for and lower revenue from solar PV systems there, which would adversely affect sales of our products. In addition, our ability to successfully penetrate new geographic markets may depend on new countries adopting and maintaining incentives to promote solar electricity, to the extent such incentives are not currently in place. Furthermore, electric utility companies may establish pricing structures or interconnection requirements that could adversely affect our sales and be harmful to the solar and distributed rooftop solar generation industry.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Among other government-established incentives, net energy metering and related policies have supported the growth of on-grid solar products, and changes to such policies may reduce demand for electricity from our solar service offerings. Net energy metering is a tariffed utility rate program that permits a consumer to sell the excess solar energy that the consumer’s solar panels produce to the electric utility company at a predetermined price. The most basic type of NEM tariff pays consumers the retail rate for electricity that their solar panels export to the grid, less certain “non-bypassable” fees paid by the consumer. However, certain states have sought to move away from retail rate-based net energy metering crediting for compensating excess solar generation. For example, in December 2022, the CPUC adopted a “NEM 3.0” policy, also known as the Net Billing Tariff, that unbundles export compensation from retail rates and instead bases it on a tool called the Avoided Cost Calculator (“ACC”), which estimates the utility costs that are avoided by exports from distributed generation for each hour of the year. The CPUC did seek to ease the transition for the solar market by adopting small “adders” to the hourly ACC export values for the first several years of the tariff. Nevertheless, these ACC-based export compensation values are significantly lower than retail rates for most hours of the year and may therefore increase payback periods, and thereby reduce demand for solar-only systems. Similarly, in November 2023, the CPUC adopted changes to its “Virtual NEM” and “NEM Aggregation” programs that prohibit multi-meter commercial or agricultural property owners from netting solar energy generated at or adjacent to those properties against import charges recorded on the meters at the property, except for residential account holders in a multi-family residential property. These types of modifications to net energy metering policies have impacted and could further harm our business, both in California, where we have derived a significant portion of historical revenues in the United States, and in other jurisdictions, if pursued there.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Federal, state, local and foreign tax credits, grants and other incentive programs have in the past had a positive effect on our sales since inception. However, if these programs are reduced, eliminated or expire (including the elimination of the ITC at the end of 2025), it could adversely affect sales of our products in the future. Reductions in incentives and uncertainty around future energy policy, including local content requirements, have in the past and could in the future negatively affect us and may continue to negatively affect our business, financial condition, and results of operations as we seek to increase our business domestically and abroad. Furthermore, electric utility companies may establish rate structures or interconnection requirements that could be harmful to the solar industry and adversely affect our sales. Additionally, our ability to expand to other countries may depend on new countries adopting and maintaining tax credits, tax incentives, NEM policies, or other programs to promote solar electricity and storage, to the extent such incentives or programs are not currently in place. Changes in incentive programs or electricity policies could negatively affect returns on our investments in the countries in which we operate as well as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Changes in U.S. and foreign tax laws could have a material adverse effect on our business, cash flow, results of operations or financial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tax regimes we are subject to or operate under, including income and non-income taxes, are unsettled and may be subject to significant change. Changes in tax laws, regulations, or rulings, or changes in interpretations of existing laws and regulations, could materially affect our financial position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example, the 2017 Tax Cuts and Jobs Act, or Tax Act, made broad and complex changes to the U.S. tax code, including changes to U.S. federal tax rates, additional limitations on the deductibility of interest, both positive and negative changes to the utilization of future NOL carryforwards, and allowing for the expensing of certain capital expenditures. The 2020 Coronavirus Aid, Relief, and Economic Security Act, or CARES Act, modified certain provisions of the Tax Act. In addition, on August 16, 2022, the IRA, among other provisions, imposes a 15% minimum tax on the adjusted financial statement income of certain large corporations and a 1% excise tax on corporate stock repurchases by U.S. publicly traded corporations and certain U.S. subsidiaries of non-U.S. publicly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traded corporations, as well as significant enhancements of U.S. tax incentives relating to climate and energy investments. The change in U.S. presidential administrations raises the prospect of shifts in public policies and government incentives. Among the recent policy shifts directed by the new presidential administration is a pause in disbursements and review of funding processes for projects supported by the IRA. The exact impact of the Tax Act, the CARES Act and the IRA for future years is difficult to quantify, but these changes could materially affect our effective tax rate in future periods, in addition to any changes made by new tax legislation. In addition, the recently enacted OBBB introduced material changes to clean energy tax credit programs, including the expiration of the ITC under Section 25D of the Code (for residential solar and storage systems purchased through cash or loans) on December 31, 2025, the imposition of new thresholds for bonus ITC eligibility under Section 48E of the Code (which governs ITCs for leased solar and storage systems) and new compliance requirements under the FEOC provisions applicable to both Section 48E of the Code and the AMPTC under Section 45X of the Code (which establish escalating content sourcing restrictions and other restrictions for qualifying solar and storage projects and for manufactured components). These legislative and regulatory developments may negatively impact our eligibility for certain tax credits, the competitiveness of our offerings to solar and storage system lease providers, and the overall demand for our products in the U.S. If we are unable to meet the revised domestic content or FEOC requirements, our ability to qualify for these incentives could be impaired, which may adversely affect our business and results of operations.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Organization for Economic Co-operation and Development (the “OECD”)/G20 Inclusive Framework on Base Erosion and Profit Shifting has a two-pillar approach to address tax challenges arising from the digitalization of the global economy by (i) allocating profits to market jurisdictions (“Pillar One”) and (ii) ensuring multinational enterprises pay a minimum level of tax regardless of where the headquarters are located or the jurisdictions in which the company operates (“Pillar Two”). Pillar One targets multinational groups with global revenue exceeding €20 billion and a profit-to-revenue ratio of more than 10%. Companies subject to Pillar One will be required to allocate profits and pay taxes to market jurisdictions. Pillar Two focuses on global profit allocation and a global minimum tax rate. In December 2022, the European Union (“EU”) Member States formally adopted the EU’s Pillar Two Directive, which generally provides for a minimum effective tax rate of 15%, as established by the OECD Pillar Two Framework that was supported by over 130 countries worldwide. The EU Pillar Two Directive became effective on January 1, 2024. Other countries are also actively considering changes to their tax laws to adopt certain parts of the OECD’s proposals. Based on the current revenue and profit thresholds, we do not currently expect to be impacted by either Pillar One or Pillar Two, but will continue to monitor and evaluate the potential future impact of both the proposals on our effective tax rate and related impact on our consolidated financial statements and related disclosures. The potential impact of any future rules or regulations to address the tax challenges arising from the digitization of the global economy could have a material adverse effect on our consolidated financial statements.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Significant judgment is required in evaluating our tax positions and our worldwide provision for taxes. During the ordinary course of business, there are many activities and transactions for which the ultimate tax determination is uncertain. As we expand the scale of our business activities, changes to the taxation of our activities could increase our worldwide effective tax rate, increase the amount of taxes imposed on our business, and harm our financial position. We may be audited in various jurisdictions, and such jurisdictions may assess additional taxes against us. Although we believe our tax estimates are reasonable, the final determination of any tax audits or litigation could be materially different from our historical tax provisions and accruals. Any such changes may also apply retroactively to our historical operations and result in taxes greater than the amounts estimated and recorded in our financial statements, which could have a material adverse effect on our operating results or cash flows in the relevant period or periods.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business could be adversely affected by trade tariffs or other trade barriers.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We may also be negatively affected by the prospect of expanded trade restrictions between the government of the United States and where we or our partners operate. Escalating trade tensions between the United States and China have led to increased tariffs and trade restrictions, including tariffs applicable to some of our products. In addition, the new U.S. presidential administration imposed additional tariffs on goods imported from China, Mexico and Canada, and indicated that that it may impose substantial new or increased tariffs on other foreign imports into the U.S. Any trade war or escalation of a trade war between the U.S. and any other jurisdictions in which we conduct business could potentially impact our hardware component prices and impact any plans to sell products in China and other international markets. The escalation of any “trade war” may also contribute to the rise of inflation, which may negatively affect the United States and global markets. Due to uncertainty regarding the timing, content and extent of changes to tariff and trade policies in the United States and abroad, it is unclear how further expanded trade restrictions may impact us or our partners, although they pose the risk of price instability and that exports of our products may become subject to retaliatory tariffs and harm our ability to ability to obtain necessary product components or to sell our products at prices customers are willing to pay. Any of these factors could have a material adverse effect on our business, financial condition and results of operations.</w:t>
      </w:r>
    </w:p>
    <w:p>
      <w:pPr>
        <w:pStyle w:val="Heading2"/>
        <w:bidi w:val="0"/>
        <w:spacing w:before="120" w:after="283"/>
        <w:jc w:val="both"/>
        <w:rPr>
          <w:rFonts w:ascii="Times New Roman" w:hAnsi="Times New Roman"/>
          <w:color w:val="000000"/>
          <w:sz w:val="20"/>
        </w:rPr>
      </w:pPr>
      <w:bookmarkStart w:id="13" w:name="item_2_unregistered_sales_of_equity"/>
      <w:bookmarkEnd w:id="13"/>
      <w:r>
        <w:rPr>
          <w:rFonts w:ascii="Times New Roman" w:hAnsi="Times New Roman"/>
          <w:color w:val="000000"/>
          <w:sz w:val="20"/>
        </w:rPr>
        <w:t>Item 2. Unregistered Sales of Equity Securities and 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both"/>
        <w:rPr>
          <w:rFonts w:ascii="Times New Roman" w:hAnsi="Times New Roman"/>
          <w:color w:val="000000"/>
          <w:sz w:val="20"/>
        </w:rPr>
      </w:pPr>
      <w:bookmarkStart w:id="14" w:name="tem_3_defaults_upon_senior_securities"/>
      <w:bookmarkEnd w:id="14"/>
      <w:r>
        <w:rPr>
          <w:rFonts w:ascii="Times New Roman" w:hAnsi="Times New Roman"/>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Heading2"/>
        <w:bidi w:val="0"/>
        <w:spacing w:before="360" w:after="283"/>
        <w:jc w:val="both"/>
        <w:rPr>
          <w:rFonts w:ascii="Times New Roman" w:hAnsi="Times New Roman"/>
          <w:color w:val="000000"/>
          <w:sz w:val="20"/>
        </w:rPr>
      </w:pPr>
      <w:bookmarkStart w:id="15" w:name="item_4_mine_safety_disclosures"/>
      <w:bookmarkEnd w:id="15"/>
      <w:r>
        <w:rPr>
          <w:rFonts w:ascii="Times New Roman" w:hAnsi="Times New Roman"/>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Heading2"/>
        <w:bidi w:val="0"/>
        <w:spacing w:before="360" w:after="283"/>
        <w:jc w:val="both"/>
        <w:rPr>
          <w:rFonts w:ascii="Times New Roman" w:hAnsi="Times New Roman"/>
          <w:color w:val="000000"/>
          <w:sz w:val="20"/>
        </w:rPr>
      </w:pPr>
      <w:bookmarkStart w:id="16" w:name="item_5_other_information"/>
      <w:bookmarkEnd w:id="16"/>
      <w:r>
        <w:rPr>
          <w:rFonts w:ascii="Times New Roman" w:hAnsi="Times New Roman"/>
          <w:color w:val="000000"/>
          <w:sz w:val="20"/>
        </w:rPr>
        <w:t>Item 5.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item_6_exhibits"/>
      <w:bookmarkEnd w:id="17"/>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18"/>
        <w:gridCol w:w="168"/>
        <w:gridCol w:w="8519"/>
      </w:tblGrid>
      <w:tr>
        <w:trPr/>
        <w:tc>
          <w:tcPr>
            <w:tcW w:w="15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8519" w:type="dxa"/>
            <w:tcBorders/>
            <w:vAlign w:val="center"/>
          </w:tcPr>
          <w:p>
            <w:pPr>
              <w:pStyle w:val="TableContents"/>
              <w:bidi w:val="0"/>
              <w:spacing w:before="0" w:after="283"/>
              <w:jc w:val="left"/>
              <w:rPr>
                <w:sz w:val="4"/>
                <w:szCs w:val="4"/>
              </w:rPr>
            </w:pPr>
            <w:r>
              <w:rPr>
                <w:sz w:val="4"/>
                <w:szCs w:val="4"/>
              </w:rPr>
            </w:r>
          </w:p>
        </w:tc>
      </w:tr>
      <w:tr>
        <w:trPr/>
        <w:tc>
          <w:tcPr>
            <w:tcW w:w="1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9" w:type="dxa"/>
            <w:tcBorders/>
            <w:shd w:fill="FFFFFF" w:val="clear"/>
            <w:tcMar>
              <w:top w:w="0" w:type="dxa"/>
              <w:left w:w="0" w:type="dxa"/>
              <w:bottom w:w="0" w:type="dxa"/>
              <w:right w:w="0" w:type="dxa"/>
            </w:tcMar>
            <w:vAlign w:val="center"/>
          </w:tcPr>
          <w:p>
            <w:pPr>
              <w:pStyle w:val="TableContents"/>
              <w:bidi w:val="0"/>
              <w:jc w:val="both"/>
              <w:rPr/>
            </w:pPr>
            <w:hyperlink r:id="rId2">
              <w:r>
                <w:rPr>
                  <w:rStyle w:val="InternetLink"/>
                  <w:rFonts w:ascii="Times New Roman" w:hAnsi="Times New Roman"/>
                  <w:color w:val="0000FF"/>
                  <w:sz w:val="20"/>
                  <w:u w:val="single"/>
                </w:rPr>
                <w:t>Second Amended and Restated Certificate of Incorporation of Tigo Energy, Inc. (incorporated by reference</w:t>
              </w:r>
            </w:hyperlink>
          </w:p>
          <w:p>
            <w:pPr>
              <w:pStyle w:val="TableContents"/>
              <w:bidi w:val="0"/>
              <w:spacing w:before="0" w:after="283"/>
              <w:jc w:val="both"/>
              <w:rPr/>
            </w:pPr>
            <w:hyperlink r:id="rId3">
              <w:r>
                <w:rPr>
                  <w:rStyle w:val="InternetLink"/>
                  <w:rFonts w:ascii="Times New Roman" w:hAnsi="Times New Roman"/>
                  <w:color w:val="0000FF"/>
                  <w:sz w:val="20"/>
                  <w:u w:val="single"/>
                </w:rPr>
                <w:t>to Exhibit 3.1 to the Company’s Current Report on Form 8-K, filed with the SEC on May 30, 2023).</w:t>
              </w:r>
            </w:hyperlink>
          </w:p>
        </w:tc>
      </w:tr>
      <w:tr>
        <w:trPr/>
        <w:tc>
          <w:tcPr>
            <w:tcW w:w="1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9" w:type="dxa"/>
            <w:tcBorders/>
            <w:shd w:fill="FFFFFF" w:val="clear"/>
            <w:tcMar>
              <w:top w:w="0" w:type="dxa"/>
              <w:left w:w="0" w:type="dxa"/>
              <w:bottom w:w="0" w:type="dxa"/>
              <w:right w:w="0" w:type="dxa"/>
            </w:tcMar>
            <w:vAlign w:val="center"/>
          </w:tcPr>
          <w:p>
            <w:pPr>
              <w:pStyle w:val="TableContents"/>
              <w:bidi w:val="0"/>
              <w:jc w:val="both"/>
              <w:rPr/>
            </w:pPr>
            <w:hyperlink r:id="rId4">
              <w:r>
                <w:rPr>
                  <w:rStyle w:val="InternetLink"/>
                  <w:rFonts w:ascii="Times New Roman" w:hAnsi="Times New Roman"/>
                  <w:color w:val="0000FF"/>
                  <w:sz w:val="20"/>
                  <w:u w:val="single"/>
                </w:rPr>
                <w:t>Amended and Restated Bylaws of Tigo Energy, Inc. (incorporated by reference to Exhibit 3.2 to the</w:t>
              </w:r>
            </w:hyperlink>
          </w:p>
          <w:p>
            <w:pPr>
              <w:pStyle w:val="TableContents"/>
              <w:bidi w:val="0"/>
              <w:spacing w:before="0" w:after="283"/>
              <w:jc w:val="both"/>
              <w:rPr/>
            </w:pPr>
            <w:hyperlink r:id="rId5">
              <w:r>
                <w:rPr>
                  <w:rStyle w:val="InternetLink"/>
                  <w:rFonts w:ascii="Times New Roman" w:hAnsi="Times New Roman"/>
                  <w:color w:val="0000FF"/>
                  <w:sz w:val="20"/>
                  <w:u w:val="single"/>
                </w:rPr>
                <w:t>Company’s Current Report on Form 8-K, filed with the SEC on May 30, 2023).</w:t>
              </w:r>
            </w:hyperlink>
          </w:p>
        </w:tc>
      </w:tr>
      <w:tr>
        <w:trPr/>
        <w:tc>
          <w:tcPr>
            <w:tcW w:w="1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Manufacturing and Supply Agreement, dated August 19, 2025, by and between Tigo Energy, Inc. and EG4 Electronics LLC (incorporated by reference to Exhibit 10.1 to the Company’s Current Report on Form 8-K, filed with the SEC on August 25, 2025).</w:t>
              </w:r>
            </w:hyperlink>
          </w:p>
        </w:tc>
      </w:tr>
      <w:tr>
        <w:trPr/>
        <w:tc>
          <w:tcPr>
            <w:tcW w:w="1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31_1.htm">
              <w:r>
                <w:rPr>
                  <w:rStyle w:val="InternetLink"/>
                  <w:rFonts w:ascii="Times New Roman" w:hAnsi="Times New Roman"/>
                  <w:color w:val="0000FF"/>
                  <w:sz w:val="20"/>
                  <w:u w:val="single"/>
                </w:rPr>
                <w:t>Certification of Chief Executive Officer pursuant to Rule 13a-14(a)/15d-14(a)</w:t>
              </w:r>
            </w:hyperlink>
          </w:p>
        </w:tc>
      </w:tr>
      <w:tr>
        <w:trPr/>
        <w:tc>
          <w:tcPr>
            <w:tcW w:w="1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31_2.htm">
              <w:r>
                <w:rPr>
                  <w:rStyle w:val="InternetLink"/>
                  <w:rFonts w:ascii="Times New Roman" w:hAnsi="Times New Roman"/>
                  <w:color w:val="0000FF"/>
                  <w:sz w:val="20"/>
                  <w:u w:val="single"/>
                </w:rPr>
                <w:t>Certification of Chief Financial Officer pursuant to Rule 13a-14(a)/15d-14(a)</w:t>
              </w:r>
            </w:hyperlink>
          </w:p>
        </w:tc>
      </w:tr>
      <w:tr>
        <w:trPr/>
        <w:tc>
          <w:tcPr>
            <w:tcW w:w="1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32_1.htm">
              <w:r>
                <w:rPr>
                  <w:rStyle w:val="InternetLink"/>
                  <w:rFonts w:ascii="Times New Roman" w:hAnsi="Times New Roman"/>
                  <w:color w:val="0000FF"/>
                  <w:sz w:val="20"/>
                  <w:u w:val="single"/>
                </w:rPr>
                <w:t>Certification of Chief Executive Officer pursuant to Rule 13a-14(b)/15d-14(b)</w:t>
              </w:r>
            </w:hyperlink>
          </w:p>
        </w:tc>
      </w:tr>
      <w:tr>
        <w:trPr/>
        <w:tc>
          <w:tcPr>
            <w:tcW w:w="1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32_2.htm">
              <w:r>
                <w:rPr>
                  <w:rStyle w:val="InternetLink"/>
                  <w:rFonts w:ascii="Times New Roman" w:hAnsi="Times New Roman"/>
                  <w:color w:val="0000FF"/>
                  <w:sz w:val="20"/>
                  <w:u w:val="single"/>
                </w:rPr>
                <w:t>Certification of Chief Financial Officer pursuant to Rule 13a-14(b)/15d-14(b)</w:t>
              </w:r>
            </w:hyperlink>
          </w:p>
        </w:tc>
      </w:tr>
      <w:tr>
        <w:trPr/>
        <w:tc>
          <w:tcPr>
            <w:tcW w:w="1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1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1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Cover Page Interactive Data File (formatted as Inline XBRL and contained in Exhibit 101) </w:t>
            </w:r>
          </w:p>
        </w:tc>
      </w:tr>
      <w:tr>
        <w:trPr/>
        <w:tc>
          <w:tcPr>
            <w:tcW w:w="1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Filed herewith.</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Furnished herewith</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9"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0205" w:type="dxa"/>
            <w:gridSpan w:val="3"/>
            <w:tcBorders/>
            <w:shd w:fill="FFFFFF" w:val="clear"/>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 Annexes, schedules and exhibits to this Exhibit have been omitted pursuant to Item 601(a)(5) of Regulation S-K. The Registrant agrees to furnish supplementally a copy of any omitted schedule or exhibit to the SEC upon request.</w:t>
            </w:r>
          </w:p>
          <w:p>
            <w:pPr>
              <w:pStyle w:val="TableContents"/>
              <w:bidi w:val="0"/>
              <w:spacing w:before="0" w:after="283"/>
              <w:jc w:val="left"/>
              <w:rPr/>
            </w:pPr>
            <w:r>
              <w:rPr/>
              <w:t> </w:t>
            </w:r>
          </w:p>
        </w:tc>
      </w:tr>
      <w:tr>
        <w:trPr/>
        <w:tc>
          <w:tcPr>
            <w:tcW w:w="10205" w:type="dxa"/>
            <w:gridSpan w:val="3"/>
            <w:tcBorders/>
            <w:shd w:fill="FFFFFF" w:val="clear"/>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 The registrant has redacted provisions or terms of this exhibit pursuant to Regulation S-K Item 601(b)(10)(iv). While portions of the exhibit have been redacted, this exhibit includes a prominent statement on the first page of the exhibit that certain identified information has been excluded from the exhibit because it is both not material and is the type that the registrant treats as private or confidential. The registrant agrees to furnish an unredacted copy of the exhibit to the SEC upon its request.</w:t>
            </w:r>
          </w:p>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signatures"/>
      <w:bookmarkEnd w:id="18"/>
      <w:r>
        <w:rPr>
          <w:rFonts w:ascii="Times New Roman" w:hAnsi="Times New Roman"/>
          <w:b/>
          <w:color w:val="000000"/>
          <w:sz w:val="20"/>
        </w:rPr>
        <w:t>SIGNATURES</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717" w:type="dxa"/>
        <w:jc w:val="left"/>
        <w:tblInd w:w="0" w:type="dxa"/>
        <w:tblLayout w:type="fixed"/>
        <w:tblCellMar>
          <w:top w:w="28" w:type="dxa"/>
          <w:left w:w="28" w:type="dxa"/>
          <w:bottom w:w="28" w:type="dxa"/>
          <w:right w:w="28" w:type="dxa"/>
        </w:tblCellMar>
      </w:tblPr>
      <w:tblGrid>
        <w:gridCol w:w="2101"/>
        <w:gridCol w:w="109"/>
        <w:gridCol w:w="406"/>
        <w:gridCol w:w="210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Tigo Energy, Inc.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Bill Roeschlein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Bill Roeschlein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9" w:name="tygo-ex31_1.htm"/>
      <w:bookmarkStart w:id="20" w:name="kstygoex31_1"/>
      <w:bookmarkEnd w:id="19"/>
      <w:bookmarkEnd w:id="20"/>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Zvi Alon,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for the quarterly period ended September 30, 2025 of Tigo Energy,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407" w:type="dxa"/>
        <w:jc w:val="left"/>
        <w:tblInd w:w="0" w:type="dxa"/>
        <w:tblLayout w:type="fixed"/>
        <w:tblCellMar>
          <w:top w:w="28" w:type="dxa"/>
          <w:left w:w="28" w:type="dxa"/>
          <w:bottom w:w="28" w:type="dxa"/>
          <w:right w:w="28" w:type="dxa"/>
        </w:tblCellMar>
      </w:tblPr>
      <w:tblGrid>
        <w:gridCol w:w="2101"/>
        <w:gridCol w:w="4306"/>
      </w:tblGrid>
      <w:tr>
        <w:trPr/>
        <w:tc>
          <w:tcPr>
            <w:tcW w:w="2101"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November 4, 2025</w:t>
            </w:r>
          </w:p>
        </w:tc>
        <w:tc>
          <w:tcPr>
            <w:tcW w:w="43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Zvi Alon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Zvi Alon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 of the Board</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tygo-ex31_2.htm"/>
      <w:bookmarkStart w:id="22" w:name="kstygoex31_2"/>
      <w:bookmarkEnd w:id="21"/>
      <w:bookmarkEnd w:id="22"/>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Bill Roeschlein,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for the quarterly period ended September 30, 2025 of Tigo Energy,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2101"/>
        <w:gridCol w:w="3766"/>
      </w:tblGrid>
      <w:tr>
        <w:trPr/>
        <w:tc>
          <w:tcPr>
            <w:tcW w:w="210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November 4, 2025</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Bill Roeschlein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 Roeschlein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tygo-ex32_1.htm"/>
      <w:bookmarkStart w:id="24" w:name="kstygoex32_1"/>
      <w:bookmarkEnd w:id="23"/>
      <w:bookmarkEnd w:id="24"/>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1350</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sz w:val="20"/>
        </w:rPr>
      </w:pPr>
      <w:r>
        <w:rPr>
          <w:rFonts w:ascii="Times New Roman" w:hAnsi="Times New Roman"/>
          <w:color w:val="000000"/>
          <w:sz w:val="20"/>
        </w:rPr>
        <w:t>In connection with the Quarterly Report on Form 10-Q of Tigo Energy, Inc. (the “</w:t>
      </w:r>
      <w:r>
        <w:rPr>
          <w:rFonts w:ascii="Times New Roman" w:hAnsi="Times New Roman"/>
          <w:color w:val="000000"/>
          <w:sz w:val="20"/>
          <w:u w:val="single"/>
        </w:rPr>
        <w:t>Company</w:t>
      </w:r>
      <w:r>
        <w:rPr>
          <w:rFonts w:ascii="Times New Roman" w:hAnsi="Times New Roman"/>
          <w:color w:val="000000"/>
          <w:sz w:val="20"/>
        </w:rPr>
        <w:t>”) for the quarter ended September 30, 2025, as filed with the Securities and Exchange Commission on the date hereof (the “</w:t>
      </w:r>
      <w:r>
        <w:rPr>
          <w:rFonts w:ascii="Times New Roman" w:hAnsi="Times New Roman"/>
          <w:color w:val="000000"/>
          <w:sz w:val="20"/>
          <w:u w:val="single"/>
        </w:rPr>
        <w:t>Report</w:t>
      </w:r>
      <w:r>
        <w:rPr>
          <w:rFonts w:ascii="Times New Roman" w:hAnsi="Times New Roman"/>
          <w:color w:val="000000"/>
          <w:sz w:val="20"/>
        </w:rPr>
        <w:t>”), I, Zvi Alon, Chief Executive Officer of the Company, certify, pursuant to 18 U.S.C. Section 1350, as adopted pursuant to Section 906 of the Sarbanes-Oxley Act of 2002, that, to the best of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Dated: November 4, 2025</w:t>
      </w:r>
    </w:p>
    <w:p>
      <w:pPr>
        <w:pStyle w:val="TextBody"/>
        <w:bidi w:val="0"/>
        <w:jc w:val="left"/>
        <w:rPr/>
      </w:pPr>
      <w:r>
        <w:rPr/>
        <w:t> </w:t>
      </w:r>
    </w:p>
    <w:tbl>
      <w:tblPr>
        <w:tblW w:w="4467" w:type="dxa"/>
        <w:jc w:val="left"/>
        <w:tblInd w:w="0" w:type="dxa"/>
        <w:tblLayout w:type="fixed"/>
        <w:tblCellMar>
          <w:top w:w="28" w:type="dxa"/>
          <w:left w:w="28" w:type="dxa"/>
          <w:bottom w:w="28" w:type="dxa"/>
          <w:right w:w="28" w:type="dxa"/>
        </w:tblCellMar>
      </w:tblPr>
      <w:tblGrid>
        <w:gridCol w:w="161"/>
        <w:gridCol w:w="4306"/>
      </w:tblGrid>
      <w:tr>
        <w:trPr/>
        <w:tc>
          <w:tcPr>
            <w:tcW w:w="161"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Zvi Alon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Zvi Alon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 of the Board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tygo-ex32_2.htm"/>
      <w:bookmarkStart w:id="26" w:name="kstygoex32_2"/>
      <w:bookmarkEnd w:id="25"/>
      <w:bookmarkEnd w:id="26"/>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1350</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sz w:val="20"/>
        </w:rPr>
      </w:pPr>
      <w:r>
        <w:rPr>
          <w:rFonts w:ascii="Times New Roman" w:hAnsi="Times New Roman"/>
          <w:color w:val="000000"/>
          <w:sz w:val="20"/>
        </w:rPr>
        <w:t>In connection with the Quarterly Report on Form 10-Q of Tigo Energy, Inc. (the “</w:t>
      </w:r>
      <w:r>
        <w:rPr>
          <w:rFonts w:ascii="Times New Roman" w:hAnsi="Times New Roman"/>
          <w:color w:val="000000"/>
          <w:sz w:val="20"/>
          <w:u w:val="single"/>
        </w:rPr>
        <w:t>Company</w:t>
      </w:r>
      <w:r>
        <w:rPr>
          <w:rFonts w:ascii="Times New Roman" w:hAnsi="Times New Roman"/>
          <w:color w:val="000000"/>
          <w:sz w:val="20"/>
        </w:rPr>
        <w:t>”) for the quarter ended September 30, 2025, as filed with the Securities and Exchange Commission on the date hereof (the “</w:t>
      </w:r>
      <w:r>
        <w:rPr>
          <w:rFonts w:ascii="Times New Roman" w:hAnsi="Times New Roman"/>
          <w:color w:val="000000"/>
          <w:sz w:val="20"/>
          <w:u w:val="single"/>
        </w:rPr>
        <w:t>Report</w:t>
      </w:r>
      <w:r>
        <w:rPr>
          <w:rFonts w:ascii="Times New Roman" w:hAnsi="Times New Roman"/>
          <w:color w:val="000000"/>
          <w:sz w:val="20"/>
        </w:rPr>
        <w:t>”), I, Bill Roeschlein, Chief Financial Officer of the Company, certify, pursuant to 18 U.S.C. Section 1350, as adopted pursuant to Section 906 of the Sarbanes-Oxley Act of 2002, that, to the best of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November 4, 2025</w:t>
      </w:r>
    </w:p>
    <w:p>
      <w:pPr>
        <w:pStyle w:val="TextBody"/>
        <w:bidi w:val="0"/>
        <w:jc w:val="left"/>
        <w:rPr/>
      </w:pPr>
      <w:r>
        <w:rPr/>
        <w:t> </w:t>
      </w:r>
    </w:p>
    <w:tbl>
      <w:tblPr>
        <w:tblW w:w="3927" w:type="dxa"/>
        <w:jc w:val="left"/>
        <w:tblInd w:w="0" w:type="dxa"/>
        <w:tblLayout w:type="fixed"/>
        <w:tblCellMar>
          <w:top w:w="28" w:type="dxa"/>
          <w:left w:w="28" w:type="dxa"/>
          <w:bottom w:w="28" w:type="dxa"/>
          <w:right w:w="28" w:type="dxa"/>
        </w:tblCellMar>
      </w:tblPr>
      <w:tblGrid>
        <w:gridCol w:w="161"/>
        <w:gridCol w:w="3766"/>
      </w:tblGrid>
      <w:tr>
        <w:trPr/>
        <w:tc>
          <w:tcPr>
            <w:tcW w:w="16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Bill Roeschlein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 Roeschlein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5447/000121390023044099/ea179362ex3-1_tigoenergy.htm" TargetMode="External"/><Relationship Id="rId3" Type="http://schemas.openxmlformats.org/officeDocument/2006/relationships/hyperlink" Target="https://www.sec.gov/Archives/edgar/data/1855447/000121390023044099/ea179362ex3-1_tigoenergy.htm" TargetMode="External"/><Relationship Id="rId4" Type="http://schemas.openxmlformats.org/officeDocument/2006/relationships/hyperlink" Target="https://www.sec.gov/Archives/edgar/data/1855447/000121390023044099/ea179362ex3-2_tigoenergy.htm" TargetMode="External"/><Relationship Id="rId5" Type="http://schemas.openxmlformats.org/officeDocument/2006/relationships/hyperlink" Target="https://www.sec.gov/Archives/edgar/data/1855447/000121390023044099/ea179362ex3-2_tigoenergy.htm" TargetMode="External"/><Relationship Id="rId6" Type="http://schemas.openxmlformats.org/officeDocument/2006/relationships/hyperlink" Target="https://www.sec.gov/Archives/edgar/data/1855447/000121390025080131/ea025412301ex10-1_tigo.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22378</Words>
  <Characters>121659</Characters>
  <CharactersWithSpaces>145161</CharactersWithSpaces>
  <Paragraphs>6399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