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1" w:lineRule="exact"/>
        <w:rPr>
          <w:sz w:val="24"/>
          <w:szCs w:val="24"/>
          <w:color w:val="auto"/>
        </w:rPr>
      </w:pPr>
    </w:p>
    <w:p>
      <w:pPr>
        <w:ind w:left="3660" w:right="2720" w:hanging="3652"/>
        <w:spacing w:after="0" w:line="314" w:lineRule="auto"/>
        <w:tabs>
          <w:tab w:leader="none" w:pos="184"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 xml:space="preserve">For the fiscal year ended </w:t>
      </w:r>
      <w:r>
        <w:rPr>
          <w:rFonts w:ascii="Arial" w:cs="Arial" w:eastAsia="Arial" w:hAnsi="Arial"/>
          <w:sz w:val="14"/>
          <w:szCs w:val="14"/>
          <w:b w:val="1"/>
          <w:bCs w:val="1"/>
          <w:u w:val="single" w:color="auto"/>
          <w:color w:val="auto"/>
        </w:rPr>
        <w:t>December 31, 2022</w:t>
      </w:r>
    </w:p>
    <w:p>
      <w:pPr>
        <w:spacing w:after="0" w:line="1" w:lineRule="exact"/>
        <w:rPr>
          <w:rFonts w:ascii="MS PGothic" w:cs="MS PGothic" w:eastAsia="MS PGothic" w:hAnsi="MS PGothic"/>
          <w:sz w:val="14"/>
          <w:szCs w:val="14"/>
          <w:color w:val="auto"/>
          <w:highlight w:val="black"/>
        </w:rPr>
      </w:pPr>
    </w:p>
    <w:p>
      <w:pPr>
        <w:ind w:left="490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or</w:t>
      </w:r>
    </w:p>
    <w:p>
      <w:pPr>
        <w:spacing w:after="0" w:line="51"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34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auto"/>
                <w:w w:val="94"/>
              </w:rPr>
              <w:t>For the transition period from</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w w:val="85"/>
              </w:rPr>
              <w:t>to</w:t>
            </w:r>
          </w:p>
        </w:tc>
        <w:tc>
          <w:tcPr>
            <w:tcW w:w="640" w:type="dxa"/>
            <w:vAlign w:val="bottom"/>
            <w:tcBorders>
              <w:bottom w:val="single" w:sz="8" w:color="auto"/>
            </w:tcBorders>
            <w:gridSpan w:val="2"/>
          </w:tcPr>
          <w:p>
            <w:pPr>
              <w:spacing w:after="0"/>
              <w:rPr>
                <w:sz w:val="14"/>
                <w:szCs w:val="14"/>
                <w:color w:val="auto"/>
              </w:rPr>
            </w:pPr>
          </w:p>
        </w:tc>
      </w:tr>
      <w:tr>
        <w:trPr>
          <w:trHeight w:val="183"/>
        </w:trPr>
        <w:tc>
          <w:tcPr>
            <w:tcW w:w="3120" w:type="dxa"/>
            <w:vAlign w:val="bottom"/>
            <w:gridSpan w:val="6"/>
          </w:tcPr>
          <w:p>
            <w:pPr>
              <w:ind w:left="500"/>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001-40710</w:t>
            </w:r>
          </w:p>
        </w:tc>
      </w:tr>
      <w:tr>
        <w:trPr>
          <w:trHeight w:val="20"/>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100" w:type="dxa"/>
            <w:vAlign w:val="bottom"/>
            <w:gridSpan w:val="7"/>
          </w:tcPr>
          <w:p>
            <w:pPr>
              <w:ind w:left="60"/>
              <w:spacing w:after="0"/>
              <w:rPr>
                <w:sz w:val="20"/>
                <w:szCs w:val="20"/>
                <w:color w:val="auto"/>
              </w:rPr>
            </w:pPr>
            <w:r>
              <w:rPr>
                <w:rFonts w:ascii="Arial" w:cs="Arial" w:eastAsia="Arial" w:hAnsi="Arial"/>
                <w:sz w:val="20"/>
                <w:szCs w:val="20"/>
                <w:b w:val="1"/>
                <w:bCs w:val="1"/>
                <w:color w:val="auto"/>
              </w:rPr>
              <w:t>ROTH CH ACQUISITION IV CO.</w:t>
            </w:r>
          </w:p>
        </w:tc>
        <w:tc>
          <w:tcPr>
            <w:tcW w:w="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300" w:type="dxa"/>
            <w:vAlign w:val="bottom"/>
            <w:vMerge w:val="restart"/>
          </w:tcPr>
          <w:p>
            <w:pPr>
              <w:jc w:val="center"/>
              <w:ind w:left="1489"/>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gridSpan w:val="7"/>
          </w:tcPr>
          <w:p>
            <w:pPr>
              <w:ind w:left="80"/>
              <w:spacing w:after="0"/>
              <w:rPr>
                <w:sz w:val="20"/>
                <w:szCs w:val="20"/>
                <w:color w:val="auto"/>
              </w:rPr>
            </w:pPr>
            <w:r>
              <w:rPr>
                <w:rFonts w:ascii="Arial" w:cs="Arial" w:eastAsia="Arial" w:hAnsi="Arial"/>
                <w:sz w:val="14"/>
                <w:szCs w:val="14"/>
                <w:color w:val="auto"/>
                <w:w w:val="94"/>
              </w:rPr>
              <w:t>(Exact name of registrant as specified in its charter)</w:t>
            </w:r>
          </w:p>
        </w:tc>
        <w:tc>
          <w:tcPr>
            <w:tcW w:w="3520" w:type="dxa"/>
            <w:vAlign w:val="bottom"/>
            <w:gridSpan w:val="2"/>
            <w:vMerge w:val="restart"/>
          </w:tcPr>
          <w:p>
            <w:pPr>
              <w:jc w:val="center"/>
              <w:ind w:right="1269"/>
              <w:spacing w:after="0"/>
              <w:rPr>
                <w:sz w:val="20"/>
                <w:szCs w:val="20"/>
                <w:color w:val="auto"/>
              </w:rPr>
            </w:pPr>
            <w:r>
              <w:rPr>
                <w:rFonts w:ascii="Arial" w:cs="Arial" w:eastAsia="Arial" w:hAnsi="Arial"/>
                <w:sz w:val="14"/>
                <w:szCs w:val="14"/>
                <w:b w:val="1"/>
                <w:bCs w:val="1"/>
                <w:color w:val="auto"/>
                <w:w w:val="93"/>
              </w:rPr>
              <w:t>83-3583873</w:t>
            </w:r>
          </w:p>
        </w:tc>
        <w:tc>
          <w:tcPr>
            <w:tcW w:w="0" w:type="dxa"/>
            <w:vAlign w:val="bottom"/>
          </w:tcPr>
          <w:p>
            <w:pPr>
              <w:spacing w:after="0"/>
              <w:rPr>
                <w:sz w:val="1"/>
                <w:szCs w:val="1"/>
                <w:color w:val="auto"/>
              </w:rPr>
            </w:pPr>
          </w:p>
        </w:tc>
      </w:tr>
      <w:tr>
        <w:trPr>
          <w:trHeight w:val="147"/>
        </w:trPr>
        <w:tc>
          <w:tcPr>
            <w:tcW w:w="330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300" w:type="dxa"/>
            <w:vAlign w:val="bottom"/>
          </w:tcPr>
          <w:p>
            <w:pPr>
              <w:jc w:val="center"/>
              <w:ind w:left="1489"/>
              <w:spacing w:after="0" w:line="123" w:lineRule="exact"/>
              <w:rPr>
                <w:sz w:val="20"/>
                <w:szCs w:val="20"/>
                <w:color w:val="auto"/>
              </w:rPr>
            </w:pPr>
            <w:r>
              <w:rPr>
                <w:rFonts w:ascii="Arial" w:cs="Arial" w:eastAsia="Arial" w:hAnsi="Arial"/>
                <w:sz w:val="14"/>
                <w:szCs w:val="14"/>
                <w:color w:val="auto"/>
                <w:w w:val="94"/>
              </w:rPr>
              <w:t>(State or other jurisdiction of</w:t>
            </w: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182"/>
        </w:trPr>
        <w:tc>
          <w:tcPr>
            <w:tcW w:w="3300" w:type="dxa"/>
            <w:vAlign w:val="bottom"/>
          </w:tcPr>
          <w:p>
            <w:pPr>
              <w:jc w:val="center"/>
              <w:ind w:left="1489"/>
              <w:spacing w:after="0"/>
              <w:rPr>
                <w:sz w:val="20"/>
                <w:szCs w:val="20"/>
                <w:color w:val="auto"/>
              </w:rPr>
            </w:pPr>
            <w:r>
              <w:rPr>
                <w:rFonts w:ascii="Arial" w:cs="Arial" w:eastAsia="Arial" w:hAnsi="Arial"/>
                <w:sz w:val="14"/>
                <w:szCs w:val="14"/>
                <w:color w:val="auto"/>
                <w:w w:val="95"/>
              </w:rPr>
              <w:t>incorporation or organization)</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400" w:type="dxa"/>
            <w:vAlign w:val="bottom"/>
            <w:gridSpan w:val="8"/>
          </w:tcPr>
          <w:p>
            <w:pPr>
              <w:jc w:val="center"/>
              <w:ind w:right="1520"/>
              <w:spacing w:after="0"/>
              <w:rPr>
                <w:sz w:val="20"/>
                <w:szCs w:val="20"/>
                <w:color w:val="auto"/>
              </w:rPr>
            </w:pPr>
            <w:r>
              <w:rPr>
                <w:rFonts w:ascii="Arial" w:cs="Arial" w:eastAsia="Arial" w:hAnsi="Arial"/>
                <w:sz w:val="14"/>
                <w:szCs w:val="14"/>
                <w:b w:val="1"/>
                <w:bCs w:val="1"/>
                <w:color w:val="auto"/>
                <w:w w:val="92"/>
              </w:rPr>
              <w:t>888 San Clemente Drive, Suite 400</w:t>
            </w:r>
          </w:p>
        </w:tc>
        <w:tc>
          <w:tcPr>
            <w:tcW w:w="3520" w:type="dxa"/>
            <w:vAlign w:val="bottom"/>
            <w:gridSpan w:val="2"/>
            <w:vMerge w:val="restart"/>
          </w:tcPr>
          <w:p>
            <w:pPr>
              <w:jc w:val="center"/>
              <w:ind w:right="1249"/>
              <w:spacing w:after="0"/>
              <w:rPr>
                <w:sz w:val="20"/>
                <w:szCs w:val="20"/>
                <w:color w:val="auto"/>
              </w:rPr>
            </w:pPr>
            <w:r>
              <w:rPr>
                <w:rFonts w:ascii="Arial" w:cs="Arial" w:eastAsia="Arial" w:hAnsi="Arial"/>
                <w:sz w:val="14"/>
                <w:szCs w:val="14"/>
                <w:b w:val="1"/>
                <w:bCs w:val="1"/>
                <w:color w:val="auto"/>
                <w:w w:val="92"/>
              </w:rPr>
              <w:t>92660</w:t>
            </w:r>
          </w:p>
        </w:tc>
        <w:tc>
          <w:tcPr>
            <w:tcW w:w="0" w:type="dxa"/>
            <w:vAlign w:val="bottom"/>
          </w:tcPr>
          <w:p>
            <w:pPr>
              <w:spacing w:after="0"/>
              <w:rPr>
                <w:sz w:val="1"/>
                <w:szCs w:val="1"/>
                <w:color w:val="auto"/>
              </w:rPr>
            </w:pPr>
          </w:p>
        </w:tc>
      </w:tr>
      <w:tr>
        <w:trPr>
          <w:trHeight w:val="171"/>
        </w:trPr>
        <w:tc>
          <w:tcPr>
            <w:tcW w:w="3300" w:type="dxa"/>
            <w:vAlign w:val="bottom"/>
            <w:tcBorders>
              <w:bottom w:val="single" w:sz="8" w:color="auto"/>
            </w:tcBorders>
          </w:tcPr>
          <w:p>
            <w:pPr>
              <w:jc w:val="center"/>
              <w:ind w:left="1509"/>
              <w:spacing w:after="0"/>
              <w:rPr>
                <w:sz w:val="20"/>
                <w:szCs w:val="20"/>
                <w:color w:val="auto"/>
              </w:rPr>
            </w:pPr>
            <w:r>
              <w:rPr>
                <w:rFonts w:ascii="Arial" w:cs="Arial" w:eastAsia="Arial" w:hAnsi="Arial"/>
                <w:sz w:val="14"/>
                <w:szCs w:val="14"/>
                <w:b w:val="1"/>
                <w:bCs w:val="1"/>
                <w:color w:val="auto"/>
                <w:w w:val="95"/>
              </w:rPr>
              <w:t>Newport Beach, CA</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4"/>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2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tcPr>
          <w:p>
            <w:pPr>
              <w:jc w:val="center"/>
              <w:ind w:right="128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91"/>
        </w:trPr>
        <w:tc>
          <w:tcPr>
            <w:tcW w:w="9920" w:type="dxa"/>
            <w:vAlign w:val="bottom"/>
            <w:gridSpan w:val="10"/>
          </w:tcPr>
          <w:p>
            <w:pPr>
              <w:jc w:val="center"/>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(949) 720-5700</w:t>
            </w:r>
          </w:p>
        </w:tc>
        <w:tc>
          <w:tcPr>
            <w:tcW w:w="0" w:type="dxa"/>
            <w:vAlign w:val="bottom"/>
          </w:tcPr>
          <w:p>
            <w:pPr>
              <w:spacing w:after="0"/>
              <w:rPr>
                <w:sz w:val="1"/>
                <w:szCs w:val="1"/>
                <w:color w:val="auto"/>
              </w:rPr>
            </w:pPr>
          </w:p>
        </w:tc>
      </w:tr>
      <w:tr>
        <w:trPr>
          <w:trHeight w:val="182"/>
        </w:trPr>
        <w:tc>
          <w:tcPr>
            <w:tcW w:w="3300" w:type="dxa"/>
            <w:vAlign w:val="bottom"/>
          </w:tcPr>
          <w:p>
            <w:pPr>
              <w:spacing w:after="0"/>
              <w:rPr>
                <w:sz w:val="15"/>
                <w:szCs w:val="15"/>
                <w:color w:val="auto"/>
              </w:rPr>
            </w:pPr>
          </w:p>
        </w:tc>
        <w:tc>
          <w:tcPr>
            <w:tcW w:w="6620" w:type="dxa"/>
            <w:vAlign w:val="bottom"/>
            <w:gridSpan w:val="9"/>
          </w:tcPr>
          <w:p>
            <w:pPr>
              <w:jc w:val="center"/>
              <w:ind w:right="3229"/>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242"/>
        </w:trPr>
        <w:tc>
          <w:tcPr>
            <w:tcW w:w="3300" w:type="dxa"/>
            <w:vAlign w:val="bottom"/>
          </w:tcPr>
          <w:p>
            <w:pPr>
              <w:jc w:val="center"/>
              <w:ind w:left="689"/>
              <w:spacing w:after="0"/>
              <w:rPr>
                <w:sz w:val="20"/>
                <w:szCs w:val="20"/>
                <w:color w:val="auto"/>
              </w:rPr>
            </w:pPr>
            <w:r>
              <w:rPr>
                <w:rFonts w:ascii="Arial" w:cs="Arial" w:eastAsia="Arial" w:hAnsi="Arial"/>
                <w:sz w:val="14"/>
                <w:szCs w:val="14"/>
                <w:color w:val="auto"/>
                <w:w w:val="94"/>
              </w:rPr>
              <w:t>Title of Each Class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4"/>
                <w:szCs w:val="14"/>
                <w:color w:val="auto"/>
                <w:w w:val="95"/>
              </w:rPr>
              <w:t>Trading Symbol</w:t>
            </w:r>
          </w:p>
        </w:tc>
        <w:tc>
          <w:tcPr>
            <w:tcW w:w="4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19"/>
        </w:trPr>
        <w:tc>
          <w:tcPr>
            <w:tcW w:w="3300" w:type="dxa"/>
            <w:vAlign w:val="bottom"/>
            <w:tcBorders>
              <w:top w:val="single" w:sz="8" w:color="auto"/>
            </w:tcBorders>
          </w:tcPr>
          <w:p>
            <w:pPr>
              <w:jc w:val="center"/>
              <w:ind w:left="689"/>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ROCG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3300" w:type="dxa"/>
            <w:vAlign w:val="bottom"/>
          </w:tcPr>
          <w:p>
            <w:pPr>
              <w:jc w:val="center"/>
              <w:ind w:left="709"/>
              <w:spacing w:after="0" w:line="149" w:lineRule="exact"/>
              <w:rPr>
                <w:sz w:val="20"/>
                <w:szCs w:val="20"/>
                <w:color w:val="auto"/>
              </w:rPr>
            </w:pPr>
            <w:r>
              <w:rPr>
                <w:rFonts w:ascii="Arial" w:cs="Arial" w:eastAsia="Arial" w:hAnsi="Arial"/>
                <w:sz w:val="14"/>
                <w:szCs w:val="14"/>
                <w:b w:val="1"/>
                <w:bCs w:val="1"/>
                <w:color w:val="auto"/>
                <w:w w:val="98"/>
              </w:rPr>
              <w:t>Warrants</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4"/>
          </w:tcPr>
          <w:p>
            <w:pPr>
              <w:jc w:val="center"/>
              <w:ind w:right="760"/>
              <w:spacing w:after="0" w:line="149" w:lineRule="exact"/>
              <w:rPr>
                <w:sz w:val="20"/>
                <w:szCs w:val="20"/>
                <w:color w:val="auto"/>
              </w:rPr>
            </w:pPr>
            <w:r>
              <w:rPr>
                <w:rFonts w:ascii="Arial" w:cs="Arial" w:eastAsia="Arial" w:hAnsi="Arial"/>
                <w:sz w:val="14"/>
                <w:szCs w:val="14"/>
                <w:b w:val="1"/>
                <w:bCs w:val="1"/>
                <w:color w:val="auto"/>
              </w:rPr>
              <w:t>ROCGW</w:t>
            </w:r>
          </w:p>
        </w:tc>
        <w:tc>
          <w:tcPr>
            <w:tcW w:w="40" w:type="dxa"/>
            <w:vAlign w:val="bottom"/>
          </w:tcPr>
          <w:p>
            <w:pPr>
              <w:spacing w:after="0"/>
              <w:rPr>
                <w:sz w:val="12"/>
                <w:szCs w:val="12"/>
                <w:color w:val="auto"/>
              </w:rPr>
            </w:pPr>
          </w:p>
        </w:tc>
        <w:tc>
          <w:tcPr>
            <w:tcW w:w="3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178"/>
        </w:trPr>
        <w:tc>
          <w:tcPr>
            <w:tcW w:w="3300" w:type="dxa"/>
            <w:vAlign w:val="bottom"/>
          </w:tcPr>
          <w:p>
            <w:pPr>
              <w:jc w:val="center"/>
              <w:ind w:left="709"/>
              <w:spacing w:after="0"/>
              <w:rPr>
                <w:sz w:val="20"/>
                <w:szCs w:val="20"/>
                <w:color w:val="auto"/>
              </w:rPr>
            </w:pPr>
            <w:r>
              <w:rPr>
                <w:rFonts w:ascii="Arial" w:cs="Arial" w:eastAsia="Arial" w:hAnsi="Arial"/>
                <w:sz w:val="14"/>
                <w:szCs w:val="14"/>
                <w:b w:val="1"/>
                <w:bCs w:val="1"/>
                <w:color w:val="auto"/>
                <w:w w:val="91"/>
              </w:rPr>
              <w:t>Units</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ROCGU</w:t>
            </w:r>
          </w:p>
        </w:tc>
        <w:tc>
          <w:tcPr>
            <w:tcW w:w="40" w:type="dxa"/>
            <w:vAlign w:val="bottom"/>
          </w:tcPr>
          <w:p>
            <w:pPr>
              <w:spacing w:after="0"/>
              <w:rPr>
                <w:sz w:val="15"/>
                <w:szCs w:val="15"/>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bl>
    <w:p>
      <w:pPr>
        <w:ind w:left="31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244" w:lineRule="auto"/>
        <w:rPr>
          <w:sz w:val="20"/>
          <w:szCs w:val="20"/>
          <w:color w:val="auto"/>
        </w:rPr>
      </w:pPr>
      <w:r>
        <w:rPr>
          <w:rFonts w:ascii="Arial" w:cs="Arial" w:eastAsia="Arial" w:hAnsi="Arial"/>
          <w:sz w:val="13"/>
          <w:szCs w:val="13"/>
          <w:color w:val="auto"/>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jc w:val="both"/>
        <w:spacing w:after="0" w:line="16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3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20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340" w:type="dxa"/>
            <w:vAlign w:val="bottom"/>
          </w:tcPr>
          <w:p>
            <w:pPr>
              <w:ind w:left="122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ind w:right="20"/>
        <w:spacing w:after="0" w:line="17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7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2022, the aggregate market value of the registrant’s common stock held by non-affiliates of the registrant was approximately $114.2 million.</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As of March 29, 2023, there were 5,714,749 shares of common stock, par value $0.0001 per share, issued and outstanding.</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98425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60" w:type="dxa"/>
            <w:vAlign w:val="bottom"/>
            <w:gridSpan w:val="7"/>
            <w:shd w:val="clear" w:color="auto" w:fill="CCEEFF"/>
          </w:tcPr>
          <w:p>
            <w:pPr>
              <w:spacing w:after="0"/>
              <w:rPr>
                <w:sz w:val="20"/>
                <w:szCs w:val="20"/>
                <w:color w:val="auto"/>
              </w:rPr>
            </w:pPr>
            <w:r>
              <w:rPr>
                <w:rFonts w:ascii="Arial" w:cs="Arial" w:eastAsia="Arial" w:hAnsi="Arial"/>
                <w:sz w:val="16"/>
                <w:szCs w:val="16"/>
                <w:color w:val="0000EE"/>
              </w:rPr>
              <w:t>PART I</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1.</w:t>
            </w: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BUSINESS</w:t>
            </w: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ITEM 1A.</w:t>
            </w:r>
          </w:p>
        </w:tc>
        <w:tc>
          <w:tcPr>
            <w:tcW w:w="6440" w:type="dxa"/>
            <w:vAlign w:val="bottom"/>
            <w:gridSpan w:val="18"/>
            <w:shd w:val="clear" w:color="auto" w:fill="CCEEFF"/>
          </w:tcPr>
          <w:p>
            <w:pPr>
              <w:spacing w:after="0" w:line="162" w:lineRule="exact"/>
              <w:rPr>
                <w:sz w:val="20"/>
                <w:szCs w:val="20"/>
                <w:color w:val="auto"/>
              </w:rPr>
            </w:pPr>
            <w:r>
              <w:rPr>
                <w:rFonts w:ascii="Arial" w:cs="Arial" w:eastAsia="Arial" w:hAnsi="Arial"/>
                <w:sz w:val="16"/>
                <w:szCs w:val="16"/>
                <w:color w:val="0000EE"/>
              </w:rPr>
              <w:t>RISK FACTORS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ITEM 1B.</w:t>
            </w:r>
          </w:p>
        </w:tc>
        <w:tc>
          <w:tcPr>
            <w:tcW w:w="6440" w:type="dxa"/>
            <w:vAlign w:val="bottom"/>
            <w:gridSpan w:val="18"/>
            <w:shd w:val="clear" w:color="auto" w:fill="CCEEFF"/>
          </w:tcPr>
          <w:p>
            <w:pPr>
              <w:spacing w:after="0" w:line="162" w:lineRule="exact"/>
              <w:rPr>
                <w:sz w:val="20"/>
                <w:szCs w:val="20"/>
                <w:color w:val="auto"/>
              </w:rPr>
            </w:pPr>
            <w:r>
              <w:rPr>
                <w:rFonts w:ascii="Arial" w:cs="Arial" w:eastAsia="Arial" w:hAnsi="Arial"/>
                <w:sz w:val="16"/>
                <w:szCs w:val="16"/>
                <w:color w:val="0000EE"/>
              </w:rPr>
              <w:t>UNRESOLVED STAFF COMMENTS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2.</w:t>
            </w: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w w:val="94"/>
              </w:rPr>
              <w:t>PROPERTIES</w:t>
            </w: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3.</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LEGAL PROCEEDINGS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4.</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MINE SAFETY DISCLOSURES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60" w:type="dxa"/>
            <w:vAlign w:val="bottom"/>
            <w:gridSpan w:val="7"/>
            <w:shd w:val="clear" w:color="auto" w:fill="CCEEFF"/>
          </w:tcPr>
          <w:p>
            <w:pPr>
              <w:spacing w:after="0" w:line="162" w:lineRule="exact"/>
              <w:rPr>
                <w:sz w:val="20"/>
                <w:szCs w:val="20"/>
                <w:color w:val="auto"/>
              </w:rPr>
            </w:pPr>
            <w:r>
              <w:rPr>
                <w:rFonts w:ascii="Arial" w:cs="Arial" w:eastAsia="Arial" w:hAnsi="Arial"/>
                <w:sz w:val="16"/>
                <w:szCs w:val="16"/>
                <w:color w:val="0000EE"/>
              </w:rPr>
              <w:t>PART II</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5</w:t>
            </w:r>
            <w:r>
              <w:rPr>
                <w:rFonts w:ascii="Arial" w:cs="Arial" w:eastAsia="Arial" w:hAnsi="Arial"/>
                <w:sz w:val="16"/>
                <w:szCs w:val="16"/>
                <w:color w:val="000000"/>
                <w:w w:val="99"/>
              </w:rPr>
              <w:t>.</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w w:val="97"/>
              </w:rPr>
              <w:t>MARKET FOR REGISTRANT’S COMMON EQUITY, RELATED STOCKHOLDER MATTERS AND ISSUER</w:t>
            </w: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520" w:type="dxa"/>
            <w:vAlign w:val="bottom"/>
            <w:gridSpan w:val="25"/>
            <w:shd w:val="clear" w:color="auto" w:fill="CCEEFF"/>
          </w:tcPr>
          <w:p>
            <w:pPr>
              <w:ind w:left="80"/>
              <w:spacing w:after="0" w:line="183" w:lineRule="exact"/>
              <w:rPr>
                <w:sz w:val="20"/>
                <w:szCs w:val="20"/>
                <w:color w:val="auto"/>
              </w:rPr>
            </w:pPr>
            <w:r>
              <w:rPr>
                <w:rFonts w:ascii="Arial" w:cs="Arial" w:eastAsia="Arial" w:hAnsi="Arial"/>
                <w:sz w:val="16"/>
                <w:szCs w:val="16"/>
                <w:color w:val="0000EE"/>
              </w:rPr>
              <w:t>PURCHASES OF EQUITY SECURITIES</w:t>
            </w:r>
          </w:p>
        </w:tc>
        <w:tc>
          <w:tcPr>
            <w:tcW w:w="1520" w:type="dxa"/>
            <w:vAlign w:val="bottom"/>
            <w:shd w:val="clear" w:color="auto" w:fill="CCEEFF"/>
          </w:tcPr>
          <w:p>
            <w:pPr>
              <w:jc w:val="center"/>
              <w:ind w:left="479"/>
              <w:spacing w:after="0" w:line="183" w:lineRule="exact"/>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6.</w:t>
            </w: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[RESERVED]</w:t>
            </w: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7.</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MANAGEMENT’S DISCUSSION AND ANALYSIS OF FINANCIAL CONDITION AND RESULTS OF</w:t>
            </w: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ind w:left="80"/>
              <w:spacing w:after="0" w:line="183" w:lineRule="exact"/>
              <w:rPr>
                <w:sz w:val="20"/>
                <w:szCs w:val="20"/>
                <w:color w:val="auto"/>
              </w:rPr>
            </w:pPr>
            <w:r>
              <w:rPr>
                <w:rFonts w:ascii="Arial" w:cs="Arial" w:eastAsia="Arial" w:hAnsi="Arial"/>
                <w:sz w:val="16"/>
                <w:szCs w:val="16"/>
                <w:color w:val="0000EE"/>
                <w:w w:val="93"/>
              </w:rPr>
              <w:t>OPERATIONS</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479"/>
              <w:spacing w:after="0" w:line="183" w:lineRule="exact"/>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ITEM 7A.</w:t>
            </w:r>
          </w:p>
        </w:tc>
        <w:tc>
          <w:tcPr>
            <w:tcW w:w="6440" w:type="dxa"/>
            <w:vAlign w:val="bottom"/>
            <w:gridSpan w:val="18"/>
            <w:shd w:val="clear" w:color="auto" w:fill="CCEEFF"/>
          </w:tcPr>
          <w:p>
            <w:pPr>
              <w:spacing w:after="0" w:line="162" w:lineRule="exact"/>
              <w:rPr>
                <w:sz w:val="20"/>
                <w:szCs w:val="20"/>
                <w:color w:val="auto"/>
              </w:rPr>
            </w:pPr>
            <w:r>
              <w:rPr>
                <w:rFonts w:ascii="Arial" w:cs="Arial" w:eastAsia="Arial" w:hAnsi="Arial"/>
                <w:sz w:val="16"/>
                <w:szCs w:val="16"/>
                <w:color w:val="0000EE"/>
              </w:rPr>
              <w:t>QUANTITATIVE AND QUALITATIVE DISCLOSURES ABOUT MARKET RISK</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8.</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FINANCIAL STATEMENTS AND SUPPLEMENTARY DATA</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6"/>
            <w:shd w:val="clear" w:color="auto" w:fill="CCEEFF"/>
          </w:tcPr>
          <w:p>
            <w:pPr>
              <w:jc w:val="center"/>
              <w:ind w:right="120"/>
              <w:spacing w:after="0" w:line="162" w:lineRule="exact"/>
              <w:rPr>
                <w:sz w:val="20"/>
                <w:szCs w:val="20"/>
                <w:color w:val="auto"/>
              </w:rPr>
            </w:pPr>
            <w:r>
              <w:rPr>
                <w:rFonts w:ascii="Arial" w:cs="Arial" w:eastAsia="Arial" w:hAnsi="Arial"/>
                <w:sz w:val="16"/>
                <w:szCs w:val="16"/>
                <w:color w:val="0000EE"/>
                <w:w w:val="99"/>
              </w:rPr>
              <w:t>ITEM 9.</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CHANGES IN AND DISAGREEMENTS WITH ACCOUNTANTS ON ACCOUNTING AND FINANCIAL</w:t>
            </w: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7"/>
            <w:shd w:val="clear" w:color="auto" w:fill="CCEEFF"/>
          </w:tcPr>
          <w:p>
            <w:pPr>
              <w:ind w:left="80"/>
              <w:spacing w:after="0" w:line="183" w:lineRule="exact"/>
              <w:rPr>
                <w:sz w:val="20"/>
                <w:szCs w:val="20"/>
                <w:color w:val="auto"/>
              </w:rPr>
            </w:pPr>
            <w:r>
              <w:rPr>
                <w:rFonts w:ascii="Arial" w:cs="Arial" w:eastAsia="Arial" w:hAnsi="Arial"/>
                <w:sz w:val="16"/>
                <w:szCs w:val="16"/>
                <w:color w:val="0000EE"/>
                <w:w w:val="94"/>
              </w:rPr>
              <w:t>DISCLOSURE</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479"/>
              <w:spacing w:after="0" w:line="183"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ITEM 9A.</w:t>
            </w:r>
          </w:p>
        </w:tc>
        <w:tc>
          <w:tcPr>
            <w:tcW w:w="6440" w:type="dxa"/>
            <w:vAlign w:val="bottom"/>
            <w:gridSpan w:val="18"/>
            <w:shd w:val="clear" w:color="auto" w:fill="CCEEFF"/>
          </w:tcPr>
          <w:p>
            <w:pPr>
              <w:spacing w:after="0" w:line="162" w:lineRule="exact"/>
              <w:rPr>
                <w:sz w:val="20"/>
                <w:szCs w:val="20"/>
                <w:color w:val="auto"/>
              </w:rPr>
            </w:pPr>
            <w:r>
              <w:rPr>
                <w:rFonts w:ascii="Arial" w:cs="Arial" w:eastAsia="Arial" w:hAnsi="Arial"/>
                <w:sz w:val="16"/>
                <w:szCs w:val="16"/>
                <w:color w:val="0000EE"/>
              </w:rPr>
              <w:t>CONTROLS AND PROCEDURES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ITEM 9B.</w:t>
            </w:r>
          </w:p>
        </w:tc>
        <w:tc>
          <w:tcPr>
            <w:tcW w:w="6440" w:type="dxa"/>
            <w:vAlign w:val="bottom"/>
            <w:gridSpan w:val="18"/>
            <w:shd w:val="clear" w:color="auto" w:fill="CCEEFF"/>
          </w:tcPr>
          <w:p>
            <w:pPr>
              <w:spacing w:after="0" w:line="162" w:lineRule="exact"/>
              <w:rPr>
                <w:sz w:val="20"/>
                <w:szCs w:val="20"/>
                <w:color w:val="auto"/>
              </w:rPr>
            </w:pPr>
            <w:r>
              <w:rPr>
                <w:rFonts w:ascii="Arial" w:cs="Arial" w:eastAsia="Arial" w:hAnsi="Arial"/>
                <w:sz w:val="16"/>
                <w:szCs w:val="16"/>
                <w:color w:val="0000EE"/>
              </w:rPr>
              <w:t>OTHER INFORMATION</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7"/>
            <w:shd w:val="clear" w:color="auto" w:fill="CCEEFF"/>
          </w:tcPr>
          <w:p>
            <w:pPr>
              <w:ind w:left="80"/>
              <w:spacing w:after="0" w:line="162" w:lineRule="exact"/>
              <w:rPr>
                <w:sz w:val="20"/>
                <w:szCs w:val="20"/>
                <w:color w:val="auto"/>
              </w:rPr>
            </w:pPr>
            <w:r>
              <w:rPr>
                <w:rFonts w:ascii="Arial" w:cs="Arial" w:eastAsia="Arial" w:hAnsi="Arial"/>
                <w:sz w:val="16"/>
                <w:szCs w:val="16"/>
                <w:color w:val="0000EE"/>
              </w:rPr>
              <w:t>ITEM 9C.</w:t>
            </w:r>
          </w:p>
        </w:tc>
        <w:tc>
          <w:tcPr>
            <w:tcW w:w="6440" w:type="dxa"/>
            <w:vAlign w:val="bottom"/>
            <w:gridSpan w:val="18"/>
            <w:shd w:val="clear" w:color="auto" w:fill="CCEEFF"/>
          </w:tcPr>
          <w:p>
            <w:pPr>
              <w:spacing w:after="0" w:line="162" w:lineRule="exact"/>
              <w:rPr>
                <w:sz w:val="20"/>
                <w:szCs w:val="20"/>
                <w:color w:val="auto"/>
              </w:rPr>
            </w:pPr>
            <w:r>
              <w:rPr>
                <w:rFonts w:ascii="Arial" w:cs="Arial" w:eastAsia="Arial" w:hAnsi="Arial"/>
                <w:sz w:val="16"/>
                <w:szCs w:val="16"/>
                <w:color w:val="0000EE"/>
                <w:w w:val="98"/>
              </w:rPr>
              <w:t>DISCLOSURE REGARDING FOREIGN JURISDICTIONS THAT PREVENT INSPECTIONS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60" w:type="dxa"/>
            <w:vAlign w:val="bottom"/>
            <w:gridSpan w:val="7"/>
            <w:shd w:val="clear" w:color="auto" w:fill="CCEEFF"/>
          </w:tcPr>
          <w:p>
            <w:pPr>
              <w:spacing w:after="0" w:line="162" w:lineRule="exact"/>
              <w:rPr>
                <w:sz w:val="20"/>
                <w:szCs w:val="20"/>
                <w:color w:val="auto"/>
              </w:rPr>
            </w:pPr>
            <w:r>
              <w:rPr>
                <w:rFonts w:ascii="Arial" w:cs="Arial" w:eastAsia="Arial" w:hAnsi="Arial"/>
                <w:sz w:val="16"/>
                <w:szCs w:val="16"/>
                <w:color w:val="0000EE"/>
              </w:rPr>
              <w:t>PART III</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7"/>
            <w:shd w:val="clear" w:color="auto" w:fill="CCEEFF"/>
          </w:tcPr>
          <w:p>
            <w:pPr>
              <w:jc w:val="center"/>
              <w:spacing w:after="0" w:line="162" w:lineRule="exact"/>
              <w:rPr>
                <w:sz w:val="20"/>
                <w:szCs w:val="20"/>
                <w:color w:val="auto"/>
              </w:rPr>
            </w:pPr>
            <w:r>
              <w:rPr>
                <w:rFonts w:ascii="Arial" w:cs="Arial" w:eastAsia="Arial" w:hAnsi="Arial"/>
                <w:sz w:val="16"/>
                <w:szCs w:val="16"/>
                <w:color w:val="0000EE"/>
                <w:w w:val="98"/>
              </w:rPr>
              <w:t>ITEM 10.</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DIRECTORS, EXECUTIVE OFFICERS AND CORPORATE GOVERNANCE</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6"/>
            <w:shd w:val="clear" w:color="auto" w:fill="CCEEFF"/>
          </w:tcPr>
          <w:p>
            <w:pPr>
              <w:jc w:val="center"/>
              <w:ind w:right="80"/>
              <w:spacing w:after="0" w:line="162" w:lineRule="exact"/>
              <w:rPr>
                <w:sz w:val="20"/>
                <w:szCs w:val="20"/>
                <w:color w:val="auto"/>
              </w:rPr>
            </w:pPr>
            <w:r>
              <w:rPr>
                <w:rFonts w:ascii="Arial" w:cs="Arial" w:eastAsia="Arial" w:hAnsi="Arial"/>
                <w:sz w:val="16"/>
                <w:szCs w:val="16"/>
                <w:color w:val="0000EE"/>
                <w:w w:val="92"/>
              </w:rPr>
              <w:t>ITEM 11.</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EXECUTIVE COMPENSATION</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6"/>
            <w:shd w:val="clear" w:color="auto" w:fill="CCEEFF"/>
          </w:tcPr>
          <w:p>
            <w:pPr>
              <w:jc w:val="center"/>
              <w:ind w:right="80"/>
              <w:spacing w:after="0" w:line="162" w:lineRule="exact"/>
              <w:rPr>
                <w:sz w:val="20"/>
                <w:szCs w:val="20"/>
                <w:color w:val="auto"/>
              </w:rPr>
            </w:pPr>
            <w:r>
              <w:rPr>
                <w:rFonts w:ascii="Arial" w:cs="Arial" w:eastAsia="Arial" w:hAnsi="Arial"/>
                <w:sz w:val="16"/>
                <w:szCs w:val="16"/>
                <w:color w:val="0000EE"/>
                <w:w w:val="92"/>
              </w:rPr>
              <w:t>ITEM 12.</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SECURITY OWNERSHIP OF CERTAIN BENEFICIAL OWNERS AND MANAGEMENT AND RELATED</w:t>
            </w: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CCEEFF"/>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520" w:type="dxa"/>
            <w:vAlign w:val="bottom"/>
            <w:gridSpan w:val="25"/>
            <w:shd w:val="clear" w:color="auto" w:fill="CCEEFF"/>
          </w:tcPr>
          <w:p>
            <w:pPr>
              <w:ind w:left="80"/>
              <w:spacing w:after="0" w:line="183" w:lineRule="exact"/>
              <w:rPr>
                <w:sz w:val="20"/>
                <w:szCs w:val="20"/>
                <w:color w:val="auto"/>
              </w:rPr>
            </w:pPr>
            <w:r>
              <w:rPr>
                <w:rFonts w:ascii="Arial" w:cs="Arial" w:eastAsia="Arial" w:hAnsi="Arial"/>
                <w:sz w:val="16"/>
                <w:szCs w:val="16"/>
                <w:color w:val="0000EE"/>
              </w:rPr>
              <w:t>STOCKHOLDER MATTERS</w:t>
            </w:r>
          </w:p>
        </w:tc>
        <w:tc>
          <w:tcPr>
            <w:tcW w:w="1520" w:type="dxa"/>
            <w:vAlign w:val="bottom"/>
            <w:shd w:val="clear" w:color="auto" w:fill="CCEEFF"/>
          </w:tcPr>
          <w:p>
            <w:pPr>
              <w:jc w:val="center"/>
              <w:ind w:left="479"/>
              <w:spacing w:after="0" w:line="183" w:lineRule="exact"/>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7"/>
            <w:shd w:val="clear" w:color="auto" w:fill="CCEEFF"/>
          </w:tcPr>
          <w:p>
            <w:pPr>
              <w:jc w:val="center"/>
              <w:spacing w:after="0" w:line="162" w:lineRule="exact"/>
              <w:rPr>
                <w:sz w:val="20"/>
                <w:szCs w:val="20"/>
                <w:color w:val="auto"/>
              </w:rPr>
            </w:pPr>
            <w:r>
              <w:rPr>
                <w:rFonts w:ascii="Arial" w:cs="Arial" w:eastAsia="Arial" w:hAnsi="Arial"/>
                <w:sz w:val="16"/>
                <w:szCs w:val="16"/>
                <w:color w:val="0000EE"/>
                <w:w w:val="98"/>
              </w:rPr>
              <w:t>ITEM 13.</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CERTAIN RELATIONSHIPS AND RELATED TRANSACTIONS, AND DIRECTOR INDEPENDENCE</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7"/>
            <w:shd w:val="clear" w:color="auto" w:fill="CCEEFF"/>
          </w:tcPr>
          <w:p>
            <w:pPr>
              <w:jc w:val="center"/>
              <w:spacing w:after="0" w:line="162" w:lineRule="exact"/>
              <w:rPr>
                <w:sz w:val="20"/>
                <w:szCs w:val="20"/>
                <w:color w:val="auto"/>
              </w:rPr>
            </w:pPr>
            <w:r>
              <w:rPr>
                <w:rFonts w:ascii="Arial" w:cs="Arial" w:eastAsia="Arial" w:hAnsi="Arial"/>
                <w:sz w:val="16"/>
                <w:szCs w:val="16"/>
                <w:color w:val="0000EE"/>
                <w:w w:val="98"/>
              </w:rPr>
              <w:t>ITEM 14.</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PRINCIPAL ACCOUNTANT FEES AND SERVICES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60" w:type="dxa"/>
            <w:vAlign w:val="bottom"/>
            <w:gridSpan w:val="7"/>
            <w:shd w:val="clear" w:color="auto" w:fill="CCEEFF"/>
          </w:tcPr>
          <w:p>
            <w:pPr>
              <w:spacing w:after="0" w:line="162" w:lineRule="exact"/>
              <w:rPr>
                <w:sz w:val="20"/>
                <w:szCs w:val="20"/>
                <w:color w:val="auto"/>
              </w:rPr>
            </w:pPr>
            <w:r>
              <w:rPr>
                <w:rFonts w:ascii="Arial" w:cs="Arial" w:eastAsia="Arial" w:hAnsi="Arial"/>
                <w:sz w:val="16"/>
                <w:szCs w:val="16"/>
                <w:color w:val="0000EE"/>
              </w:rPr>
              <w:t>PART IV</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7"/>
            <w:shd w:val="clear" w:color="auto" w:fill="CCEEFF"/>
          </w:tcPr>
          <w:p>
            <w:pPr>
              <w:jc w:val="center"/>
              <w:spacing w:after="0" w:line="162" w:lineRule="exact"/>
              <w:rPr>
                <w:sz w:val="20"/>
                <w:szCs w:val="20"/>
                <w:color w:val="auto"/>
              </w:rPr>
            </w:pPr>
            <w:r>
              <w:rPr>
                <w:rFonts w:ascii="Arial" w:cs="Arial" w:eastAsia="Arial" w:hAnsi="Arial"/>
                <w:sz w:val="16"/>
                <w:szCs w:val="16"/>
                <w:color w:val="0000EE"/>
                <w:w w:val="98"/>
              </w:rPr>
              <w:t>ITEM 15.</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EXHIBITS AND FINANCIAL STATEMENT SCHEDULES</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7"/>
            <w:shd w:val="clear" w:color="auto" w:fill="CCEEFF"/>
          </w:tcPr>
          <w:p>
            <w:pPr>
              <w:jc w:val="center"/>
              <w:spacing w:after="0" w:line="162" w:lineRule="exact"/>
              <w:rPr>
                <w:sz w:val="20"/>
                <w:szCs w:val="20"/>
                <w:color w:val="auto"/>
              </w:rPr>
            </w:pPr>
            <w:r>
              <w:rPr>
                <w:rFonts w:ascii="Arial" w:cs="Arial" w:eastAsia="Arial" w:hAnsi="Arial"/>
                <w:sz w:val="16"/>
                <w:szCs w:val="16"/>
                <w:color w:val="0000EE"/>
                <w:w w:val="98"/>
              </w:rPr>
              <w:t>ITEM 16.</w:t>
            </w:r>
          </w:p>
        </w:tc>
        <w:tc>
          <w:tcPr>
            <w:tcW w:w="7520" w:type="dxa"/>
            <w:vAlign w:val="bottom"/>
            <w:gridSpan w:val="25"/>
            <w:shd w:val="clear" w:color="auto" w:fill="CCEEFF"/>
          </w:tcPr>
          <w:p>
            <w:pPr>
              <w:ind w:left="80"/>
              <w:spacing w:after="0" w:line="162" w:lineRule="exact"/>
              <w:rPr>
                <w:sz w:val="20"/>
                <w:szCs w:val="20"/>
                <w:color w:val="auto"/>
              </w:rPr>
            </w:pPr>
            <w:r>
              <w:rPr>
                <w:rFonts w:ascii="Arial" w:cs="Arial" w:eastAsia="Arial" w:hAnsi="Arial"/>
                <w:sz w:val="16"/>
                <w:szCs w:val="16"/>
                <w:color w:val="0000EE"/>
              </w:rPr>
              <w:t>FORM 10-K SUMMARY</w:t>
            </w:r>
          </w:p>
        </w:tc>
        <w:tc>
          <w:tcPr>
            <w:tcW w:w="1520" w:type="dxa"/>
            <w:vAlign w:val="bottom"/>
            <w:shd w:val="clear" w:color="auto" w:fill="CCEEFF"/>
          </w:tcPr>
          <w:p>
            <w:pPr>
              <w:jc w:val="center"/>
              <w:ind w:left="479"/>
              <w:spacing w:after="0" w:line="162" w:lineRule="exact"/>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366395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w:t>
      </w:r>
    </w:p>
    <w:p>
      <w:pPr>
        <w:spacing w:after="0" w:line="18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225" w:lineRule="exact"/>
        <w:rPr>
          <w:rFonts w:ascii="Arial" w:cs="Arial" w:eastAsia="Arial" w:hAnsi="Arial"/>
          <w:sz w:val="18"/>
          <w:szCs w:val="18"/>
          <w:color w:val="auto"/>
        </w:rPr>
      </w:pPr>
    </w:p>
    <w:p>
      <w:pPr>
        <w:ind w:left="680" w:right="46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680" w:right="140" w:hanging="321"/>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 and other benefits;</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80" w:right="76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delisting of our securities from Nasdaq or an inability to have our securities listed on Nasdaq following a business combination;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change in control if we acquire one or more target businesses for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our filings from time to time with the United States Securities and Exchange Commission (the “SEC”).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Roth CH Acquisition IV Co. (the “Company,” “we,” “us,” or “our”) is a blank check company formed under the laws of the State of Delaware on February 13, 2019. We were formed for the purpose of entering into a merger, share exchange, asset acquisition, stock purchase, recapitalization, reorganization or other similar business combination with one or more businesses or entities, which we refer to herein as our initial business combination. To date, our efforts have been limited to organizational activities as well as activities related to our initial public offering and our search for an initial business combination. Our efforts to identify a prospective target business will not be limited to any particular industry or geographic region, although we intend to focus our search on target businesses operating in the business services, consumer, healthcare, technology, wellness or sustainability sectors.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Registration Statement for our initial public offering was declared effective on August 5, 2021 (the “Initial Public Offering” or “IPO”). On August 10, 2021, the Company consummated the IPO of 11,500,000 units (the “Units”), including 1,500,000 issued upon the exercise in full by the underwriters in the IPO of their over-allotment option. Each Unit consists of one share of common stock, $0.0001 par value (“Common Stock”), and one-half of one warrant (“Warrant”) entitling the holder of each whole Warrant to purchase one share of Common Stock at a price of $11.50 per whole share. The Units were sold at an offering price of $10.00 per Unit, generating gross proceeds of $115.0 million, and incurring transaction costs of approximately $1.65 million, consisting of $1.15 million of underwriting fees and approximately $0.5 million of other offering costs of the Initial Public Offering in accordance with Staff Accounting Bulletin Topic 5A and 5T.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Simultaneously with the closing of the Initial Public Offering, we completed the private sale of 461,500 Units (the “Private Units”) at a purchase price of $10.00 per Private Unit (the “Private Placement”), to certain initial stockholders of the Company, generating gross proceeds of $4,615,000. Except with respect to certain registration rights and transfer restrictions, the Private Units are identical to the Units sold as part of the public units in the Initial Public Offering.</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Upon the closing of the Initial Public Offering and the private placement (including the exercise of the over-allotment option), a total of $116,725,000 ($10.15 per Unit) of the net proceeds of the IPO and certain of the proceeds of the Private Placement were placed in a trust account (the “Trust Account”) located in the United States with Continental Stock Transfer &amp; Trust Company acting as trustee, and invested only in U.S. “government securities,” within the meaning set forth in Section 2(a)(16) of the Investment Company Act, as amended (the “Investment Company Act”), with a maturity of one hundred eighty-five (185) days or less, or in any open-ended investment company that holds itself out as a money market fund selected by the Company meeting the conditions of Rule 2a-7 under the Investment Company Act, as determined by the Company. None of the funds held in trust will be released from the Trust Account, other than to pay our income or other tax obligations until the earlier of the consummation of the Company’s initial business combination and the distribution of the Trust Account as otherwise permitted under our amended and restated certificate of incorporation and the trust agreement.</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are unable to complete our initial business combination within 18 months from the closing of the Initial Public Offering (or by July 10, 2023, if we extend the time to complete a business combination), we will (i) cease all operations except for the purpose of winding up, (ii) as promptly as reasonably possible but not more than five business days thereafter, redeem 100% of the outstanding public shares for a pro rata portion of the funds held in the Trust Account, including a pro rata portion of any interest earned on the funds held in the Trust Account and not previously released to us or necessary to pay our taxes, which redemption will completely extinguish public stockholders’ rights as stockholders (including the right to receive further liquidation distributions, if any), subject to applicable law, and</w:t>
      </w:r>
    </w:p>
    <w:p>
      <w:pPr>
        <w:spacing w:after="0" w:line="4" w:lineRule="exact"/>
        <w:rPr>
          <w:sz w:val="20"/>
          <w:szCs w:val="20"/>
          <w:color w:val="auto"/>
        </w:rPr>
      </w:pPr>
    </w:p>
    <w:p>
      <w:pPr>
        <w:jc w:val="both"/>
        <w:ind w:firstLine="8"/>
        <w:spacing w:after="0" w:line="277" w:lineRule="auto"/>
        <w:tabs>
          <w:tab w:leader="none" w:pos="318"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(which we refer to herein as the JOBS Act). We will remain an emerging growth company until the earlier of (1) the last day of the fiscal year (a) following the fifth anniversary of the completion of our initial public offering, (b) in which we have total annual gross revenue of at least $1.07 billion (as adjusted for inflation pursuant to SEC rules from time to time), or (c) in which we are deemed to be a large accelerated filer, which means the market value of our common stock that is held by non-affiliates equals or exceeds $700 million as of the prior June 30th, and</w:t>
      </w:r>
    </w:p>
    <w:p>
      <w:pPr>
        <w:spacing w:after="0" w:line="2" w:lineRule="exact"/>
        <w:rPr>
          <w:sz w:val="20"/>
          <w:szCs w:val="20"/>
          <w:color w:val="auto"/>
        </w:rPr>
      </w:pPr>
    </w:p>
    <w:p>
      <w:pPr>
        <w:jc w:val="both"/>
        <w:ind w:firstLine="8"/>
        <w:spacing w:after="0" w:line="277" w:lineRule="auto"/>
        <w:tabs>
          <w:tab w:leader="none" w:pos="26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As an emerging growth company, we have elected, under Section 107(b) of the JOBS Act, to take advantage of the extended transition period provided in Section 7(a)(2)(B) of the Securities Act for complying with new or revised accounting standards.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5, 2022, we entered into an Agreement and Plan of Merger (as it may be amended, supplemented or otherwise modified from time to time, the “Merger Agreement”), with Roth IV Merger Sub Inc., a Delaware corporation and a wholly-owned subsidiary of the Company (“Merger Sub”), and Tigo Energy, Inc., a Delaware corporation (“Tigo Energy”). The transactions set forth in the Merger Agreement, including the merger of Merger Sub with and into Tigo Energy, with Tigo Energy surviving the merger as a wholly owned subsidiary of the Company (the “Merger”), will constitute a “Business Combination” as contemplated by the Company’s amended and restated certificate of incorporation. Upon the closing and the other transactions contemplated by the Merger Agreement, the Company will change its name to “Tigo Energy, Inc.” On December 30, 2022, the Company filed a registration statement on Form S-4 including a preliminary proxy statement/prospectus with the SEC for the purpose of soliciting stockholder approval of the proposed Business Combination with Tigo Energy at a special meeting of the Company’s stockholders.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the parties thereto with respect to the parties, the transactions contemplated by the Merger Agreement and their respective business operations and activities.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Concurrently with the execution of the Merger Agreement, we entered into the Sponsor Support Agreement with the Sponsor Parties (as defined the Sponsor Support Agreement), whereby the Sponsor Parties have agreed, among other things, to vote in favor of the Business Combination with Tigo Energy and certain other proposals being presented at the special meeting of the Company’s stockholders.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Merger Agreement, the Sponsors (as defined in the Sale and Purchase Agreement) entered into the Sale and Purchase Agreement with Tigo Energy, pursuant to which, immediately prior to the effective time of the Merger, the Sponsors will sell to Tigo Energy 1,645,000 shares of Common Stock and 424,000 Private Units in exchange for an amount equal to $2,300,000 pursuant to the Sale and Purchase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execution of the Merger Agreement, the Sponsors entered into the Note Agreement pursuant to which the Sponsors are required to repay the full amount of the expenses funded by Tigo Energy to extend the time period for the Company to consummate a Business Combination as contemplated in the Merger Agreement. Pursuant to the Note Agreement, the outstanding principal amount under the Note Agreement becomes immediately due and payable in full, together with all accrued and unpaid interest thereon, on the earlier of (i) on July 6, 2023, (ii) the consummation of the transactions contemplated by the Sale and Purchase Agreement; or (iii) the termination of the Merger Agreement.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Concurrently with the execution of the Merger Agreement, we entered into a letter agreement with Tigo Energy, Roth Capital Partners, LLC (“Roth”) and Craig-Hallum Capital Group LLC (“Craig-Hallum”), to terminate that certain Business Combination Marketing Agreement, dated as of August 5, 2021, by and among the Company, Roth and Craig-Hallum (the “Letter Agreement”). Pursuant to the Letter Agreement, in exchange for services rendered in connection with the transactions contemplated in the Merger Agreement, Roth may be issued up to 300,000 Advisor Shares (shares of common stock, post-merger) equal to a fixed amount of 100,000 shares, regardless of the amount of equity raised in exchange for services rendered in connection with the transactions contemplated in the Merger Agreement, plus up to 200,000 shares based on the equity raised (“Variable Compensation Shares”). The number of Variable Compensation Shares will be equal to the product of (x) the quotient of equity raised divided by $50.0 million, multiplied by (y) 200,000. The Advisor Shares are issuable based on (a) the gross proceeds received from a capital raising transaction involving the equity securities of Tigo Energy and (b) the amount remaining in the Company’s trust account after giving effect to any redemptions (as further described in the Letter Agreement). On February 23, 2023, we entered into an amendment to the Letter Agreement. Pursuant to the amendment, the agreement was revised so that the term equity raised means the gross proceeds available to the post-Business Combination company immediately after the closing of the Business Combination consisting of (a) the gross proceeds received from a capital raising transaction involving the equity securities or equity-linked instruments of Tigo Energy; provided, however, that the $50.0 million of proceeds from the sale of convertible promissory notes by Tigo Energy to L1 Energy Capital Management S.a.r.l. shall be excluded from the calculation</w:t>
      </w:r>
    </w:p>
    <w:p>
      <w:pPr>
        <w:sectPr>
          <w:pgSz w:w="11900" w:h="16838" w:orient="portrait"/>
          <w:cols w:equalWidth="0" w:num="1">
            <w:col w:w="9920"/>
          </w:cols>
          <w:pgMar w:left="980" w:top="517" w:right="99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equity raised; (b) the gross proceeds received from a capital raising transaction involving the equity securities of the Company; and (c) the amount remaining in the Company’s trust account after giving effect to any redemptions.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the preliminary proxy statement/prospectus included in the Registration Statement on Form S-4/A filed by us with the SEC on February 14, 2023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and Redemptions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20, 2022, we held a special meeting of stockholders, at which the Company’s stockholders approved an amendment to the Company’s amended and restated certificate of incorporation (the “Extension Amendment”), giving the Company the right to extend the date by which the Company has to consummate a business combination up to five (5) times, each such extension for an additional one</w:t>
      </w:r>
    </w:p>
    <w:p>
      <w:pPr>
        <w:spacing w:after="0" w:line="2" w:lineRule="exact"/>
        <w:rPr>
          <w:sz w:val="20"/>
          <w:szCs w:val="20"/>
          <w:color w:val="auto"/>
        </w:rPr>
      </w:pPr>
    </w:p>
    <w:p>
      <w:pPr>
        <w:jc w:val="both"/>
        <w:ind w:firstLine="8"/>
        <w:spacing w:after="0" w:line="253" w:lineRule="auto"/>
        <w:tabs>
          <w:tab w:leader="none" w:pos="263"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month period, from February 10, 2023 to July 10, 2023. In connection with the stockholders’ vote at the special meeting, 9,121,751 shares of the Company’s common stock were tendered for redemption at a redemption price of approximately $10.24 per share, for an aggregate redemption amount of approximately $93.4 million. After the satisfaction of such redemptions, the balance in the Trust Account was approximately $24.4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8 and 9, 2022, the Company entered into non-redemption agreements with certain stockholders owning, in the aggregate, 1,631,811 shares of the Company’s common stock, in which such stockholders agreed, among other things, not to redeem or exercise any right to redeem such public shares in connection with the Extension Amendment. Certain initial stockholders of the Company agreed to pay the stockholders that entered into such agreements $0.083 per share for the period from the stockholder approval of the Extension Amendment through February 10, 2023 and subsequently $0.05 per share for each one-month extension. No additional funds were deposited into the Trust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team’s objective is to generate attractive returns and create value for our stockholders by applying a disciplined strategy of identifying attractive investment opportunities that could benefit from the addition of capital, management expertise and strategic insight.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leverage our management team’s broad network of proprietary and public transaction sources to find an opportunity where their expertise could effect a positive transformation of the existing business to improve the overall value proposition while maximizing shareholder value.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team believes it can identify companies that are under-performing their potential due to a temporary period of dislocation in the markets in which they operate, inefficient capital allocations, over-levered capital structures, excessive cost structures, incomplete management teams and/or inappropriate business strategies. In order to increase shareholder value, we will seek to identify these dislocations and implement a proven course correction plan where management agreements are put in place, debt and equity structures are realigned and costs are reduced.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source initial business combination opportunities through the extensive networks of our management team and their affiliates. Over the course of their careers, the members of our management team have developed a broad network of contacts and corporate relationships, including seasoned executives and operators, private equity investors, lenders, attorneys and family offices, that we believe will provide our management team with a robust flow of acquisition opportunities.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successful special purpose acquisition companies require a differentiated story to make a business combination attractive for potential sellers of businesses who become partners in a public markets context. We believe that our team will be an attractive partner given our proven track record of both operational and financial success in small and medium sized public companies and our deep understanding of how to navigate complicated shareholder and capital markets dynamics in a small and mid-cap context.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Combination Process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evaluating prospective business combinations, we expect to conduct a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Roth or Craig-Hallum, our initial stockholders, officers or directors or their respective affiliates. In the event we seek to complete our initial business combination with a company that is affiliated with our initial stockholders, officers or directors, we, or a committee of independent directors, will obtain an opinion from an independent investment banking firm or an independent valuation or appraisal firm that regularly provides fairness opinions that our initial business combination is fair to our stockholders from a financial point of view.</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Roth and Craig-Hallum and 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might be suitable for an entity to which he or she has then-current fiduciary or contractual obligations to present the opportunity to such entity, he or she will honor his or her fiduciary or contractual obligations to present such opportunity to such entity.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however, that the fiduciary duties or contractual obligations of Roth and Craig-Hallum and our officers or directors will not materially affect our ability to complete our initial business combination. We may, at our option, pursue an acquisition opportunity with an entity to which Roth or Craig-Hallum, investment funds advised by Roth or Craig-Hallum, or an officer or director has a fiduciary or contractual obligation. Any such entity may co-invest with us in the target business at the time of our initial business combination, or we could raise additional proceeds to complete the initial business combination by making a specified future issuance to any such entity.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 The determination of whether an opportunity has been expressly offered to a director of officer solely in his or her capacity as a director or officer of our company will made based on express statements by the person offering the opportunity, and if a director or officer is unsure of whether an opportunity was offered in such capacity, he or she shall seek guidance on such determination from the audit committee of our Board of Directors.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have until 18 months from the consummation of our initial public offering (or by July 10, 2023, if we extend the time to complete a business combination), to consummate our initial business combination. If we are unable to consummate our initial business combination within such time period, we will, as promptly as possible but not more than ten business days thereafter, redeem or purchase 100% of our outstanding public shares for a pro rata portion of the funds held in the trust account, including a pro rata portion of any interest earned on the funds held in the trust account and not previously released to us or necessary to pay our taxes, and then seek to liquidate and dissolve. However, we may not be able to distribute such amounts as a result of claims of creditors which may take priority over the claims of our public stockholders.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not presently engaged in, and we will not engage in, any operations until the completion of our initial business combination. We intend to effectuate our initial business combination using cash from the proceeds of our initial public offering and the private placement of the private units,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the prospectus of our initial public offering and know what types of businesses we are targeting.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initial stockholders,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that such an initial business combination is fair to our stockholders from a financial point of view.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our management team’s fiduciary obligations and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 of Target Business or Businesses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target business or businesses or assets with which we effect our initial business combination must have a collective fair market value equal to at least 80% of the value of the trust account (excluding any taxes payable) at the time of the agreement to enter into such 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If we are no longer listed on a national exchange, we will not be required to satisfy the 80% test.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88" w:lineRule="exact"/>
        <w:rPr>
          <w:sz w:val="20"/>
          <w:szCs w:val="20"/>
          <w:color w:val="auto"/>
        </w:rPr>
      </w:pPr>
    </w:p>
    <w:p>
      <w:pPr>
        <w:ind w:left="6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convert their public shares, regardless of how or whether they vote on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founder shares, shares underlying the private units and any public shares purchased in or after our initial public offering held by them into their pro rata share of the aggregate amount then on deposit in the trust account.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If we determine to engage in a tender offer, such tender offer will be structured so that each stockholder may tender any or all of his, her or its public shares rather than some pro rata portion of his, her or its shares. In that case, we will file tender offer documents with the SEC which will contain substantially the same financial and other information about the initial business combination as is required under the SEC’s proxy rules. Whether we seek stockholder approval or engage in a tender offering, we will consummate our initial business combination only if we have net tangible assets of at least $5,000,001 either immediately prior to or upon such consummation and, solely if we seek stockholder approval, a majority of the issued and outstanding shares of common stock voted are voted in favor of the business combination.</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seek to consummate an initial business combination with a target business that imposes any type of working capital closing condition or requires us to have a minimum amount of funds available from the trust account upon consummation of such initial business combination, it may limit our ability to consummate such initial business combination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18 months from the closing of our initial public offering (or until July 10, 2023, if we extend the time to complete a business combination) in order to be able to receive a pro rata share of the trust account.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hold a meeting to approve a proposed business combination and a significant number of stockholders vote, or indicate an intention to vote, against such proposed business combination or that they wish to convert their shares, our officers, directors, initial stockholders or their affiliates could make such purchases in the open market or in private transactions in order to influence the vote and reduce the number of conversions.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Conversion/Tender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any meeting called to approve an initial business combination, public stockholders may seek to convert their public shares, regardless of how or whether they vote on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convert any founder shares, shares underlying the private units and any public shares purchased in or after our initial public offering held by them into their pro rata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ectPr>
          <w:pgSz w:w="11900" w:h="16838" w:orient="portrait"/>
          <w:cols w:equalWidth="0" w:num="1">
            <w:col w:w="9920"/>
          </w:cols>
          <w:pgMar w:left="980" w:top="517"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Alternatively, if we engage in a tender offer, each public stockholder will be provided the opportunity to sell his, her or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initial stockholders, officers and directors will not have conversion rights with respect to any shares of common stock owned by them, directly or indirectly.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he, she or it wishes to seek to exercise his conversion rights. Under our bylaws,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pro rata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likely include the requirement that a beneficial holder must identify itself in order to validly redeem its shares.</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a fee,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request to convert or tender such shares once made, may be withdrawn at any time up to the vote on the proposed business combination or expiration of the tender offer. Furthermore, if a holder of public shares delivered his, her or its certificate in connection with an election of their conversion or tender and subsequently decides prior to the vote on the business combination or the expiration of the tender offer not to elect to exercise such rights, he, she or it may simply request that the transfer agent return the certificate (physically or electronically).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conversion or tender rights would not be entitled to convert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do not complete a business combination within 18 months from the closing of our initial public offering (or by July 10, 2023, if we extend the time to complete a business combination),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18th month from the closing of our initial public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seek to have all third parties and any prospective target businesses enter into valid and enforceable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initial stockholders have agreed that they will be liable to us if and to the extent any claims by a vendor for services rendered or products sold to us, or a prospective target business with which we have discussed entering into a transaction agreement, reduce the amount of funds in the trust account to below (i) $10.15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our indemnity of the underwriters of our initial public offering against certain liabilities, including liabilities under the Securities Act. Moreover, in the event that an executed waiver is deemed to be unenforceable against a third party, our initial stockholders will not be responsible to the extent of any liability for such third-party claims. We have not independently verified whether our initial stockholders have sufficient funds to satisfy their indemnity obligations. We have not asked our initial stockholders to reserve for such obligations. We therefore cannot assure you that they will be able to satisfy their indemnification obligations if they are required to do so.</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any shares owned by them. We will pay the costs of any subsequent liquidation from interest accrued in the trust account. If such funds are insufficient, our insiders have agreed to pay the funds necessary to complete such liquidation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$10.15.</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seven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be able to complete an initial business combination with a U.S. target company since such initial business combination may be subject to U.S. foreign investment regulations and review by a U.S. government entity such as the Committee on Foreign Investment in the United States (CFIUS), or ultimately prohibited.</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None of the members of the Company’s sponsor group is, is controlled by, or has substantial ties with a foreign person and therefore, we believe, will not be subject to U.S. foreign investment regulations and review by a U.S. government entity such as the Committee on Foreign Investment in the United States (CFIUS). While we believe that the nature of the Company’s business should not make our initial business combination subject to U.S. foreign regulations or review by a U.S. government entity, it is possible that a business combination may be subject to a CFIUS review, the scope of which was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our initial business combination falls within CFIUS’s jurisdiction, we may determine that we are required to make a mandatory filing or that we will submit a voluntary notice to CFIUS, or to proceed with the initial business combination without notifying CFIUS and risk CFIUS intervention, before or after closing the initial</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shareholders.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Moreover, the process of government review, whether by the CFIUS or otherwise, could be lengthy and we have limited time to complete our initial business combination. If we cannot complete our initial business combination by July 10, 2023 because the review process drags on beyond such timeframe or because our initial business combination is ultimately prohibited by CFIUS or another U.S. government entity, we may be required to liquidate. This will also cause you to lose the investment opportunity in a target company and the chance of realizing future gains on your investment through any price appreciation in the combined company.</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30, 2022, the SEC issued proposed rules relating to, among other matters, a safe harbor for SPACs from the definition of “investment company” under Section 3(a)(1)(A) of the Investment Company Act, provided that they satisfy certain conditions that limit a SPAC’s duration, asset composition, business purpose and activities. The duration component of the proposed safe harbor rule would require a SPAC to file a report on Form 8-K with the SEC announcing that it has entered into an agreement with the target company (or companies) to engage in an initial business combination no later than 18 months after the effective date of the SPAC’s registration statement for its initial public offering. The SPAC would then be required to complete its initial business combination no later than 24 months after the effective date of its registration statement for its initial public offering. Although that proposed safe harbor rule has not yet been adopted, the SEC has indicated that are serious questions concerning the applicability of the Investment Company Act to a SPAC that does not complete its initial business combination within the proposed time frame set forth in the proposed safe harbor rule.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 definitive initial business combination agreement within 18 months after August 5, 2021 (the effective date of our IPO registration statement) and may not complete our initial business combination within 24 months of such date. As a result, it is possible that a claim could be made that we have been operating as an unregistered investment company.</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proposed safe harbor rule has not yet been adopted, and one or more elements of the proposed safe harbor rule may not be adopted or may be adopted in a revised form. Nevertheless, we intend to comply with the terms of the proposed safe harbor rule, including the duration component of that rule, when and if adopted. As a result, we do not believe that the SEC would deem us to be an investment company for purposes of the Investment Company Act. However, if we were deemed to be an investment company for purposes of the Investment Company Act, compliance with these additional regulatory burdens would require additional expenses for which we have not allotted funds and could increase the costs and time needed to complete a business combination or impair our ability to complete a business combination. If we have not completed our initial business combination within the required time period, our public stockholders may receive only approximately $10.15 per share, or less in certain circumstances, on the liquidation of our trust account and our warrants will expire worthless.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To mitigate the risk that we might be deemed to be an investment company for purposes of the Investment Company Act, we intend to liquidate the securities held in the trust account on or around August 5, 2023, and instead to hold the funds in the trust account in cash until the earlier of the consummation of our initial business combination or our liquidation. As a result, following the liquidation of securities in the trust account, we would likely receive minimal interest, if any, on the funds held in the trust account, which would reduce the dollar amount our public stockholders would receive upon any redemption or liquidation of the Company.</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funds in the trust account have, since the closing of our IPO, been held only in U.S. government treasury obligations with a maturity of 185 days or less or in money market funds investing solely in U.S. government treasury obligations and meeting certain conditions under Rule 2a-7 under the Investment Company Act. However, to mitigate the risk of us being deemed to be an unregistered investment company (including under the subjective test of Section 3(a)(1)(A) of the Investment Company Act) and thus subject to regulation under the Investment Company Act, we intend to liquidate the U.S. government treasury obligations or money market funds held in the trust account on or prior to August 5, 2023, and thereafter to hold all funds in the trust account in cash until the earlier of consummation of our initial business combination or liquidation of the Company. Following such liquidation, we would likely receive minimal interest, if any, on the funds held in the trust account. However, interest previously earned on the funds held in the trust account still may be released to us to pay our taxes, if any, and certain other expenses as permitted. As a result, any decision to liquidate the securities held</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trust account and thereafter to hold all funds in the trust account in cash would reduce the dollar amount our public stockholders would receive upon any redemption or liquidation of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even prior to the 24-month anniversary (August 5, 2023) of the effective date of the IPO registration statement, we may be deemed to be an investment company. The longer that the funds in the trust account are held in short-term U.S. government treasury obligations or in money market funds invested exclusively in such securities, even prior to the 24-month anniversary, the greater the risk that we may be considered an unregistered investment company, in which case we may be required to liquidate the Company. Accordingly, we may determine, in our discretion, to liquidate the securities held in the trust account at any time, even prior to the 24-month anniversary, and instead hold all funds in the trust account in cash, which would further reduce the dollar amount our public stockholders would receive upon any redemption or liquidation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2.PROPERTIES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maintain our executive offices at 888 San Clemente Drive, Newport Beach, CA 92660. Roth Capital Partners, LLC is making this space available to us free of charge. We consider our current office space adequate for our current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5.MARKET FOR REGISTRANT’S COMMON EQUITY, RELATED STOCKHOLDER MATTERS AND ISSUER PURCHASES OF EQUITY SECURITIES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units, common stock and warrants trade on The Nasdaq Capital Market, or Nasdaq, under the symbols “ROCGU,” “ROCG” and “ROCGW,” respectively. Our units began trading on Nasdaq on August 6, 2021, and the shares of common stock and warrants began trading on Nasdaq on August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29, 2023, there were 5,714,749 shares of common stock issued and outstanding held by 16 holders of record.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and subject to Delaware law.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unregistered securities to report which have not been previously included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20, 2022, we held a special meeting of stockholders, at which the Company’s stockholders approved an amendment to the Company’s amended and restated certificate of incorporation, giving the Company the right to extend the date by which the Company has to consummate a business combination up to five (5) times, each such extension for an additional one (1) month period, from February 10, 2023 to July 10, 2023. In connection with the stockholders’ vote at the special meeting, 9,121,751 shares of the Company’s common stock were tendered for redemption at an redemption price of approximately $10.24 per share, for an aggregate redemption amount of approximately $93.4 million. After the satisfaction of such redemptions, the balance in our Trust Account was approximately $24.4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6.[RESERVED]</w:t>
      </w:r>
    </w:p>
    <w:p>
      <w:pPr>
        <w:spacing w:after="0" w:line="225" w:lineRule="exact"/>
        <w:rPr>
          <w:sz w:val="20"/>
          <w:szCs w:val="20"/>
          <w:color w:val="auto"/>
        </w:rPr>
      </w:pPr>
    </w:p>
    <w:p>
      <w:pPr>
        <w:ind w:right="1180"/>
        <w:spacing w:after="0" w:line="282" w:lineRule="auto"/>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“Special Note Regarding Forward-Looking Statements,” “Item 1A. Risk Factors” and elsewhere in this Annual Report on Form 10-K.</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blank check company incorporated in Delaware on February 13, 2019. We were formed for the purpose of entering into a merger, share exchange, asset acquisition, stock purchase, recapitalization, reorganization or other similar business combination with one or more businesses or entities, which we refer to herein as our “Business Combination.” We intend to effectuate our Business Combination using cash derived from the proceeds of the Initial Public Offering (as defined below) and the sale of the Private Units (as defined below), our capital stock, debt or a combination of cash, stock and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8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 business combination are insufficient to pay our debt obligations;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80" w:hanging="321"/>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5, 2022, we entered into an Agreement and Plan of Merger (as it may be amended, supplemented or otherwise modified from time to time, the “Merger Agreement”), by and among the Company, Roth IV Merger Sub Inc., a Delaware corporation and a wholly-owned subsidiary of the Company (“Merger Sub”), and Tigo Energy, Inc., a Delaware corporation (the “Tigo Energy”). The transactions set forth in the Merger Agreement, including the Merger (defined below), will constitute a “Business Combination” as contemplated by the Company’s Amended and Restated Certificate of Incorporation.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terms and conditions set forth in the Merger Agreement, Merger Sub will merge with and into Tigo Energy, with Tigo Energy surviving as a wholly-owned subsidiary of the Company (the “Merger”). Upon the closing and the other transactions contemplated by the Merger Agreement, the Company will change its name to “Tigo Energy, Inc.”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terms and conditions set forth in the Merger Agreement, in consideration of the Merger, the base purchase price of $600,000,000 will be payable through converting each outstanding share of Tigo Energy’s common stock (after giving effect to the consummation of Tigo Energy’s warrant exercise and Tigo Energy’s preferred conversion) into the right to receive 60,000,000 shares of the Company’s Common Stock at a deemed price of ten dollars ($10.00) per share, equal to (a) the exchange ratio, multiplied by (b) the number of shares of Tigo Energy’s common stock held by such holder as of immediately prior to the effective time of the Merger, with fractional shares rounded down to the nearest whole share. In addition, at the closing, each outstanding Tigo Energy’s option will be assumed and converted into an option with respect to a number of shares of the Company’s Common Stock in the manner set forth in the Merger Agreement, and each outstanding Tigo Energy’s warrant (after giving effect to Tigo Energy’s warrant exercise) to purchase Tigo Energy’s common stock will be assumed and converted into a warrant with respect to a number of shares of the Company’s Common Stock in the manner set forth in the Merger Agreement.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base purchase price is subject to a dollar-for-dollar upward or downward adjustment in the event Tigo Energy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Tigo Energy to the extent such notes or similar debt instruments have not so converted). If Tigo Energy raises or obtains a commitment to raise capital based on a pre-money valuation at or exceeding $500,000,000, the base purchase price will increase by the aggregate amount of capital raised or committed to be raised by Tigo Energy through such capital raising transaction. Conversely, if the pre-money valuation is below $500,000,000, the base purchase price will decrease by an amount equal to the difference between $500,000,000 and the actual pre-money valuation.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Extension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20, 2022, we held a special meeting of stockholders, at which the Company’s stockholders approved an amendment (the “Extension Amendment”) to the Company’s amended and restated certificate of incorporation, to extend the date by which the Company has to consummate a business combination up to five (5) times, each such extension for an additional one (1) month period, from February 10, 2023 to July 10, 2023. In connection with the Extension Amendment, stockholders holding 9,121,751 shares of redeemable common stock exercised their right to redeem such shares for a pro rata portion of the funds in the Trust Account (as defined below) at a pro rata redemption price of approximately $10.24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2022 were organizational activities, those necessary to prepare for the Initial Public Offering, which is described below, and subsequent to the Initial Public Offering, identifying a target company for a Business Combination. We do not expect to generate any operating revenues until after the completion of our Business Combination, at the earliest. We generate non-operating income in the form of interest income on marketable securities held in the Trust Account. We incur expenses as a result of being a public company (for legal, financial reporting, accounting and auditing compliance), as well as for due diligence expenses in connection with searching for, and completing, a Business Combination.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we had net loss of $178,218, which was comprised of formation and operating costs of $1,429,105 and provision for income taxes of $395,019, offset by interest earned on marketable securities held in Trust Account of $1,645,906.</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2021, we had net loss of $402,542, which was comprised of formation and operating costs of $415,858, offset by interest earned on marketable securities held in Trust Account of $13,316.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2021, we completed our initial public offering (the “Initial Public Offering”) of 11,500,000 units (the “Units” and, with respect to the shares of common stock included in the Units sold, the “Public Shares”), which included the full exercise by the underwriters of their over-allotment option in the amount of 1,500,000 Units, at $10.00 per Unit, generating gross proceeds of $115,000,000. Simultaneously with the closing of the Initial Public Offering, we completed the sale of 461,500 units (the “Private Units”) at a price of $10.00 per Private Unit in a private placement to certain of the holders of the Company’s shares prior to the Initial Public Offering (the “Initial Stockholders”), generating gross proceeds of $4,615,000.</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and the sale of the Private Units, a total of $116,725,000 was placed in a trust account located in the United States (the “Trust Account”). We incurred $1,646,673 of transaction costs, consisting of $1,150,000 of underwriting fees and $496,673 of other offering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cash used in operating activities was $865,669. Net loss of $178,218 was affected by interest earned on marketable securities held in Trust Account of $1,645,906. Changes in operating assets and liabilities provided $958,455 of cash for operating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2021, cash used in operating activities was $463,981. Net loss of $402,542 was affected by interest earned on marketable securities held in Trust Account of $13,316. Changes in operating assets and liabilities used $48,123 of cash for operating activities.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2022, we had cash held in the Trust Account of $24,678,170 (including approximately $538,943 of interest income). Interest income on the balance in the Trust Account may be used by us to pay taxes. Through December 31, 2022, we have withdrawn $286,610 from the Trust Account to pay franchise taxes and $93,419,442 in connection with the redemption of common shares. 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we had cash of $88,107.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finance transaction costs in connection with a Business Combination, the Initial Stockholders and certain of our officers and directors (or their affiliates) may, but are not obligated to, loan us funds as may be required (“Working Capital Loans”). If we complete a Business Combination, we would repay the Working Capital Loans out of the proceeds of the Trust Account released to us. Otherwise, the Working Capital Loans would be repaid only out of funds held outside the Trust Account. In the event that a Business Combination does not close, we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be repaid upon consummation of a Business Combination, without interest.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estimate of the costs of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need to raise additional capital through loans or additional investments from the Initial Stockholders and our officers and directors or their affiliates. The Initial Stockholders and our officers and directors or their affiliates may, but are not obligated to, loan us funds, from time to time or at any time, in whatever amount they deem reasonable in their sole discretion, to meet our working capital needs. Accordingly, we may not be able to obtain additional financing. If we are unable to raise additional capital, we may be required to take additional measures to conserve liquidity, which could include, but not necessarily be limited to, curtailing operations, suspending the pursuit of a potential transaction, and reducing overhead expenses. We cannot provide any assurance that new financing will be available to us on commercially acceptable terms, if at all.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Company’s assessment of going concern considerations in accordance with the Financial Accounting Standards Board’s (“FASB’s”) Accounting Standards Update (“ASU”) 2014-15, “Disclosures of Uncertainties about an Entity’s Ability to Continue as a Going Concern,” the Company has until July 10, 2023, to consummate a Business Combination. It is uncertain that the Company will be able to consummate a Business Combination by this time. If a Business Combination is not consummated by this date and an extension has not been effected by the Company and approved by the Company’s stockholders and effected by the Company, there will be a mandatory liquidation and subsequent dissolution of the Company. Management has determined that the liquidity condition and the date for mandatory liquidation and subsequent dissolution raises substantial doubt about the Company’s ability to continue as a going concern. No adjustments have been made to the carrying amounts of assets or liabilities should the Company be required to liquidate after July 10, 2023. The Company intends to complete a Business Combination before the mandatory liquidation date. The Company is within 12 months of its mandatory liquidation date as of the time of filing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no obligations, assets or liabilities, which would be considered off-balance sheet arrangements as of December 31,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as described below.</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Pursuant to a business combination marketing agreement entered into on August 5, 2021, we engaged Roth Capital Partners, LLC (“Roth”) and Craig-Hallum Capital Group LLC (“Craig-Hallum”), the underwriters in the Initial Public Offering, as advisors in connection with our Business Combination to assist us in the transaction structuring and negotiation of a definitive purchase agreement with respect to the Business Combination, hold meetings with our stockholders to discuss the Business Combination and the target’s attributes, introduce us to potential investors to purchase our securities in connection with the Business Combination, assist us in obtaining stockholder approval for the Business Combination, and assist us with financial analysis, presentations, press releases and filings related to the Business Combination. We agreed to pay Roth and Craig-Hallum a fee for such services upon the consummation of a Business Combination in an amount equal to, in the aggregate, 4.5% of the gross proceeds of the Initial Public Offering, or $5,175,000. Roth and Craig-Hallum were not entitled to such fee unless we consummated a Business Combination. Concurrently with the execution of the Merger Agreement on December 5, 2022, we entered into a letter agreement with Roth and Craig-Hallum to terminate the certain Business Combination Marketing Agreement (the “Letter Agreement”). Pursuant to the Letter Agreement, in exchange for services rendered in connection with the transactions contemplated in the Merger Agreement, Roth may be issued up to 300,000 Advisor Shares (shares of common stock, post-merger) equal to a fixed amount of 100,000 shares, regardless of the amount of equity raised in exchange for services rendered in connection with the transactions contemplated in the Merger Agreement, plus up to 200,000 shares based on the equity raised (“Variable Compensation Shares”). The number of Variable Compensation Shares will be equal to the product of (x) the quotient of equity raised divided by $50.0 million, multiplied by (y) 200,000. The Advisor Shares are issuable based on (a) the gross proceeds received from a capital raising transaction involving the equity securities of the Company and (b) the amount remaining in the Company’s trust account after giving effect to any redemptions (as further described in the Letter Agreement). On February 23, 2023, we entered into an amendment to the Letter Agreement. Pursuant to the amendment, the agreement was revised so that the term equity raised means the gross proceeds available to the post-Business Combination company immediately after the closing of the Business Combination consisting of (a) the gross proceeds received from a capital raising transaction involving the equity securities or equity-linked instruments of Tigo Energy; provided, however, that the $50.0 million of proceeds from the sale of convertible promissory notes by Tigo Energy to L1 Energy Capital Management S.a.r.l. shall be excluded from the calculation of equity raised; (b) the gross proceeds received from a capital raising transaction involving the equity securities of the Company; and (c) the amount remaining in the Company’s trust account after giving effect to any redemptions.</w:t>
      </w:r>
    </w:p>
    <w:p>
      <w:pPr>
        <w:spacing w:after="0" w:line="3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a service agreement entered on July 5, 2022, we engaged Roth and Craig-Hallum (together, the “financial advisors”) to provide services in connection with a proposed financing by the Company in connection with a business combination. In connection with this agreement the Company may be required to pay fees in connection with their services to the extent that the financing is executed. If during the term of the agreement the Company completes a financing of equity securities, convertible securities or debt of the Company, the Company has agreed to pay the financial advisors a fee in the amount of 4.0% of the gross proceeds raised. Each advisor would receive 50% of any placement agent fee, which will be paid upon the closing of the offering and business combination.</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 of the agreement will run until the earlier of the date that the Company completes any Business Combination and otherwise liquidates the funds held in the Trust Account.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5, 2022, we entered into the Merger Agreement with Merger Sub and Tigo Energy. The transactions set forth in the Merger Agreement, including the Merger, will constitute a “Business Combination” as contemplated by the Company’s Amended and Restated Certificate of Incorporation. Subject to the terms and conditions set forth in the Merger Agreement, Merger Sub will merge with and into Tigo Energy, with Tigo Energy surviving as a wholly owned subsidiary of the Company.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terms and conditions set forth in the Merger Agreement, in consideration of the Merger, the base purchase price of $600,000,000 will be payable through converting each outstanding share of Tigo Energy’s common stock (after giving effect to the consummation of Tigo Energy’s warrant exercise and Tigo Energy’s preferred conversion) into the right to receive 60,000,000 shares of the Company’s Common Stock at a deemed price of ten dollars ($10.00) per share, equal to (a) the exchange ratio, multiplied by (b) the number of shares of Tigo Energy’s common stock held by such holder as of immediately prior to the effective time of the Merger, with fractional shares rounded down to the nearest whole share. In addition, at the closing, each outstanding Tigo Energy’s option will be assumed and converted into an option with respect to a number of shares of the Company’s Common Stock in the manner set forth in the Merger Agreement, and each outstanding Tigo Energy’s warrant (after giving effect to Tigo Energy’s warrant exercise) to purchase Tigo Energy’s common stock will be assumed and converted into a warrant with respect to a number of shares of the Company’s Common Stock in the manner set forth in the Merger Agreement.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base purchase price is subject to a dollar-for-dollar upward or downward adjustment in the event Tigo Energy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Tigo Energy to the extent such notes or similar debt instruments have not so converted). If Tigo Energy raises or obtains a commitment to raise capital based on a pre-money valuation at or exceeding $500,000,000, the base purchase price will increase by the aggregate amount of capital raised or committed to be raised by Tigo Energy through such capital raising transaction. Conversely, if the pre-money valuation is below $500,000,000, the base purchase price will decrease by an amount equal to the difference between $500,000,000 and the actual pre-money valuation.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8 and 9, 2022, we entered into non-redemption agreements with certain stockholders (the “Non-redeeming Stockholders”) owning, in the aggregate, 1,631,811 shares of the Company’s common stock, in which such stockholders agreed, among other things, not to redeem or exercise any right to redeem such public shares in connection with the Extension Amendment. Certain Initial Stockholders agreed to pay the Non-redeeming Stockholders that entered into such agreements $0.083 per share for the period from the stockholder approval of the Extension Amendment on December 20, 2022 through February 10, 2023 and subsequently $0.05 per share for each one-month extension in connection with such agreements. No additional funds were deposited into the Trust Account. On December 16, 2022, we paid the initial payment of $135,440 to the Non-redeeming Stockholders on behalf of such Initial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our common stock subject to possible conversion in accordance with the guidance in Accounting Standards Codification (“ASC”) Topic 480, “Distinguishing Liabilities from Equity.”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common stock subject to possible redemption is presented at redemption value as temporary equity, outside of the stockholders’ equity section of our balance sheets.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loss per common share is computed by dividing net loss by the weighted average number of shares of common stock outstanding during the period. We have two classes of common stock, which are referred to as redeemable common stock and non-redeemable common stock. Income and losses are shared pro rata between the two classes of common stock. Remeasurement associated with the redeemable shares of common stock is excluded from loss per common share as the redemption value approximates fair value.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the FASB issued ASU No.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We adopted ASU 2020-06 on January 1, 2021. The adoption of ASU 2020-06 did not have an impact on our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financial statements and supplementary data required by this Item are listed in Part IV, Item 15 of this Annual Report on Form 10-K (or are incorporated therein by reference) and are presented beginning on Page F-1.</w:t>
      </w:r>
    </w:p>
    <w:p>
      <w:pPr>
        <w:spacing w:after="0" w:line="166"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officers and principal financial officer or persons performing similar functions, as appropriate to allow timely decisions regarding required disclosure.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required by Rules 13a-15 and 15d-15 under the Exchange Act, our Co-Chief Executive Officers and Chief Financial Officer carried out an evaluation of the effectiveness of the design and operation of our disclosure controls and procedures as of December 31, 2022. Based on this evaluation, our Co-Chief Executive Officers and Chief Financial Officer have concluded that our disclosure controls and procedures were not effective, due solely to the material weaknesses in our internal control over financial reporting related to the Company’s control over the accounting for complex financial instruments and the review of accrued expenses. As a result, we performed additional analysis as deemed necessary to ensure that our consolidated financial statements were prepared in accordance with U.S. generally accepted accounting principles. Accordingly, management believes that the consolidated financial statements included in this Form 10-K present fairly in all material respects our financial position, results of operations and cash flows for the period presented.</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whom to consult regarding complex accounting applications and consideration of additional staff with the requisite experience and training to supplement existing accounting professionals. We also intend to improve our review process of expenses for accrual purposes in the preparation of our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88" w:lineRule="exact"/>
        <w:rPr>
          <w:sz w:val="20"/>
          <w:szCs w:val="20"/>
          <w:color w:val="auto"/>
        </w:rPr>
      </w:pPr>
    </w:p>
    <w:p>
      <w:pPr>
        <w:ind w:left="340" w:right="2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70"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2022. In making these assessments, management used the criteria set forth by the Committee of Sponsoring Organizations of the Treadway Commission (COSO) in Internal Control — Integrated Framework (2013). Based on our assessments and those criteria, management determined that we did not maintain effective internal control over financial reporting as of December 31, 2022.</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intends to implement remediation steps to improve our disclosure controls and procedures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 We also intend to improve our review process of expenses for accrual purposes in the preparation of our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our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current directors and executive officers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45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Byron Roth</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24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Co-Chief Executive Officer and Chairman of the Board</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John Lipman</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Co-Chief Executive Officer and 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Roth</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Rick Hartfiel</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Co-President</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Gurewitz</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Co-President</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Andrew Costa</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Co-Chief Operating Officer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Day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Co-Chief Operating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Molly Montgomery</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M. Friedberg</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Adam Rothstein</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 Chawla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Byron Roth </w:t>
      </w:r>
      <w:r>
        <w:rPr>
          <w:rFonts w:ascii="Arial" w:cs="Arial" w:eastAsia="Arial" w:hAnsi="Arial"/>
          <w:sz w:val="16"/>
          <w:szCs w:val="16"/>
          <w:color w:val="auto"/>
        </w:rPr>
        <w:t>has served as our Chief Executive Officer and Chairman of the Board since our inception in February 2019, and became our</w:t>
      </w:r>
      <w:r>
        <w:rPr>
          <w:rFonts w:ascii="Arial" w:cs="Arial" w:eastAsia="Arial" w:hAnsi="Arial"/>
          <w:sz w:val="16"/>
          <w:szCs w:val="16"/>
          <w:b w:val="1"/>
          <w:bCs w:val="1"/>
          <w:color w:val="auto"/>
        </w:rPr>
        <w:t xml:space="preserve"> </w:t>
      </w:r>
      <w:r>
        <w:rPr>
          <w:rFonts w:ascii="Arial" w:cs="Arial" w:eastAsia="Arial" w:hAnsi="Arial"/>
          <w:sz w:val="16"/>
          <w:szCs w:val="16"/>
          <w:color w:val="auto"/>
        </w:rPr>
        <w:t>Co-Chief Executive Officer in February 2021. Mr. Roth has been the Chairman and Chief Executive Officer of Roth since 1998. Under his management the firm has helped raise over $75 billion for small-cap companies, as well as advising on many merger and acquisition transactions. Mr. Roth is a co-founder and General Partner of three private investment firms: Rx3, LLC, an influencer fund focused on consumer brands, Rivi Capital, concentrated in the mining sector, and Aceras Life Sciences, LLC, an in-house incubator focused on funding the development of novel medical innovations. He also co-founded two long only asset management firms: Cortina Asset Management, recently acquired by Silvercrest Asset Management (NASDAQ: SAMG), and EAM Investors. Mr. Roth was the Chief Executive Officer and Chairman of the Board of Roth CH Acquisition I Co. (NASDAQ: ROCH) from February 2019 until March 2021, when Roth CH Acquisition I Co. closed its business combination with PureCycle Technologies LLC. He was the Chief Executive Officer and Chairman of the Board of Roth CH Acquisition II Co. (NASDAQ: ROCC) from February 2019 until July 2021, when Roth CH Acquisition II Co. closed its business combination with Reservoir Holdings, Inc. Mr. Roth was the Co-Chief Executive Officer and Chairman of the Board of Roth CH Acquisition III Co. (NASDAQ: ROCR) from February 2019 until February 2022, when Roth CH Acquisition III Co. closed its business combination with QualTek HoldCo, LLC. He is also the Co-Chief Executive Officer and Co-Chairman of the Board of Roth CH Acquisition V Co. (NASDAQ: ROCL), a special purpose acquisition company. Mr. Roth is a member of the Advisory Council, Executive Committee, and serves as the Chairman on the Nominating Committee for the Cornell SC Johnson College of Business. He is a founding member of the University of San Diego Executive Cabinet for the Athletic Department, and former member of the Board of Trustees where he served on the Investment Committee for the university’s endowment and athletic department for nine years. Mr. Roth also sits on the Executive Board of SMU’s Cox School of Business. Mr. Roth serves as Chair of the Pacific Region Board of Trustees and a National Trustee for the Boys and Girls Club of America, and served as the Co-Chair for the 2019 Boys and Girls Club Pacific Youth of the Year Competition. He is also the 2021 annual honoree for the Elephant Cooperation, a non-profit devoted to raising awareness of the African elephant crisis and supporting educational causes in Africa. Mr. Roth also sits on the Board of Directors for the Lott IMPACT Foundation, whose Lott IMPACT Trophy is presented annually to the college football defensive IMPACT player of the year for their contribution on and off the field. He was also the honoree at the Challenged Athletes Foundation (CAF) 2015 Celebration of Heroes, Heart and Hope Gala and the 2018 Athletes First Classic Golden Heart Award benefitting the Orangewood Foundation. Mr. Roth earned his BBA from the University of San Diego in 1985 and his MBA from the Cornell SC Johnson College of Business in 1987. Mr. Byron Roth is the brother of Gordon Roth, the Company’s Chief Financial Officer.</w:t>
      </w:r>
    </w:p>
    <w:p>
      <w:pPr>
        <w:spacing w:after="0" w:line="3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John Lipman </w:t>
      </w:r>
      <w:r>
        <w:rPr>
          <w:rFonts w:ascii="Arial" w:cs="Arial" w:eastAsia="Arial" w:hAnsi="Arial"/>
          <w:sz w:val="17"/>
          <w:szCs w:val="17"/>
          <w:color w:val="auto"/>
        </w:rPr>
        <w:t>has served as our Chief Operating Officer and as a member of our Board of Directors since August 2020, and became our</w:t>
      </w:r>
      <w:r>
        <w:rPr>
          <w:rFonts w:ascii="Arial" w:cs="Arial" w:eastAsia="Arial" w:hAnsi="Arial"/>
          <w:sz w:val="17"/>
          <w:szCs w:val="17"/>
          <w:b w:val="1"/>
          <w:bCs w:val="1"/>
          <w:color w:val="auto"/>
        </w:rPr>
        <w:t xml:space="preserve"> </w:t>
      </w:r>
      <w:r>
        <w:rPr>
          <w:rFonts w:ascii="Arial" w:cs="Arial" w:eastAsia="Arial" w:hAnsi="Arial"/>
          <w:sz w:val="17"/>
          <w:szCs w:val="17"/>
          <w:color w:val="auto"/>
        </w:rPr>
        <w:t>Co-Chief Executive Officer in February 2021. Mr. Lipman is a Partner and Managing Director of Investment Banking at Craig-Hallum. Mr. Lipman joined Craig-Hallum in 2012 and has more than 17 years of investment banking experience advising growth companies in the healthcare, industrial, and technology sectors. Mr. Lipman has completed over 200 equity, convertible, and debt offerings and advisory assignments for growth companies – including over 150 since joining Craig-Hallum. Prior to joining Craig-Hallum, Mr. Lipman was a Managing Director at Rodman &amp; Renshaw LLC from 2011 to 2012, a Managing Director at Hudson Securities, Inc. from 2010 to 2011, and Carter Securities LLC, a firm he founded that specialized in raising equity, equity-linked, and debt capital for growth companies, from 2005 to 2009. Mr. Lipman has over 20 years investing experience in small capitalization companies, and started his career in venture capital and investor relations. Mr. Lipman is the Co-Chief Executive Officer and Co-Chairman of the Board of Roth CH Acquisition V Co. (NASDAQ: ROCL). Mr. Lipman was the Chief Operating Officer and a member of the board of directors of Roth CH Acquisition I Co. (NASDAQ: ROCH) from December 2019 until its merger with PureCycle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Technologies, Inc. (NASDAQ: PCT) in March 2021 and Roth CH Acquisition II Co. (NASDAQ: ROCC) from August 2020 until its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merger with Reservoir Media, Inc. (NASDAQ: RSVR) in July 2021 and the Co-Chief Executive Officer from February 2021 and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 from August 2020 of Roth CH Acquisition III Co. (NASDAQ: ROCR) until its merger with QualTek Services, Inc. (NASDAQ:</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QTEK) in February 2022. Mr. Lipman earned his B.A. in Economics in 1999 from Rollins College in Winter Park, FL.</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Gordon Roth </w:t>
      </w:r>
      <w:r>
        <w:rPr>
          <w:rFonts w:ascii="Arial" w:cs="Arial" w:eastAsia="Arial" w:hAnsi="Arial"/>
          <w:sz w:val="16"/>
          <w:szCs w:val="16"/>
          <w:color w:val="auto"/>
        </w:rPr>
        <w:t>has served as our Chief Financial Officer since our inception in February 2019. Mr. Roth has been the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Chief Operating Officer of Roth since 2000. From 1990 to 2000, Mr. Roth was the Chairman and Founder of Roth and Company, P.C., a thirty-five person public accounting firm in Des Moines, Iowa. Prior to that Mr. Roth spent thirteen years with Deloitte</w:t>
      </w:r>
    </w:p>
    <w:p>
      <w:pPr>
        <w:spacing w:after="0" w:line="2" w:lineRule="exact"/>
        <w:rPr>
          <w:sz w:val="20"/>
          <w:szCs w:val="20"/>
          <w:color w:val="auto"/>
        </w:rPr>
      </w:pPr>
    </w:p>
    <w:p>
      <w:pPr>
        <w:jc w:val="both"/>
        <w:ind w:firstLine="8"/>
        <w:spacing w:after="0" w:line="268" w:lineRule="auto"/>
        <w:tabs>
          <w:tab w:leader="none" w:pos="1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Touche, most recently serving as a Tax Partner and the Partner-in-Charge of the Des Moines office Tax Department. Mr. Roth is a CPA and a member of the American Institute of CPA’s. Mr. Roth is the Chief Financial Officer of Roth CH Acquisition V Co. (NASDAQ: ROCL). Mr. Roth was the Chief Financial Officer of Roth CH Acquisition I Co. (NASDAQ: ROCH) from December 2019 until March 2021, Roth CH Acquisition II Co. (NASDAQ: ROCC) from February 2019 until July 2021 and Roth CH Acquisition III Co. (NASDAQ: ROCR) from February 2019 until February 2022. Mr. Roth used to serve on the Board of Trustees of JSerra Catholic High School, and was the Chair of the Budget &amp; Finance Committee. Mr. Roth has served on several other non-profit boards in the past including Boys &amp; Girls Club, Special Olympics, Camp Fire and St Anne School. Mr. Roth was also a founding partner of the Iowa Barnstormers of the Arena Football League. Mr. Roth earned his B.A. from William Penn University in 1976, where he also served as a member of their Board of Trustees and was inducted into their Athletic Hall of Fame. Mr. Roth also earned a Master of Science in Accounting from Drake University in 1977. Mr. Gordon Roth is the brother of Mr. Byron Roth.</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Rick Hartfiel </w:t>
      </w:r>
      <w:r>
        <w:rPr>
          <w:rFonts w:ascii="Arial" w:cs="Arial" w:eastAsia="Arial" w:hAnsi="Arial"/>
          <w:sz w:val="17"/>
          <w:szCs w:val="17"/>
          <w:color w:val="auto"/>
        </w:rPr>
        <w:t>has served as our Co-President since August 2020. Mr. Hartfiel is a Managing Partner and has been the Head of</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Banking at Craig-Hallum since 2005. Mr. Hartfiel brings over 30 years of investment banking experience focused on emerging growth companies. Since joining Craig-Hallum in 2005, Mr. Hartfiel has managed over 300 equity offerings (IPOs, follow-on offerings, registered direct offerings and PIPEs) and M&amp;A transactions. Prior to joining Craig-Hallum, Mr. Hartfiel was an investment banker at Dain Rauscher Wessels and Credit Suisse First Boston. Mr. Hartfiel is the Co-President of Roth CH Acquisition V Co. (NASDAQ: ROCL). Mr. Hartfiel was the President from December 2019 to February 2020 and the Co-President from February 2020 until March 2021 of Roth CH Acquisition I Co. (NASDAQ: ROCH), the Co-President from August 2020 until July 2021 of Roth CH Acquisition II Co. (NASDAQ: ROCC) and the Co-President from August 2020 until February 2022 of Roth CH Acquisition III Co. (NASDAQ: ROCR). Mr. Hartfiel has a B.A. from Amherst College, and an MBA from Harvard Business School.</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Aaron Gurewitz </w:t>
      </w:r>
      <w:r>
        <w:rPr>
          <w:rFonts w:ascii="Arial" w:cs="Arial" w:eastAsia="Arial" w:hAnsi="Arial"/>
          <w:sz w:val="17"/>
          <w:szCs w:val="17"/>
          <w:color w:val="auto"/>
        </w:rPr>
        <w:t>has served as our Co-President since August 2020. Mr. Gurewitz has been a Managing Director and the Head of Roth’s</w:t>
      </w:r>
      <w:r>
        <w:rPr>
          <w:rFonts w:ascii="Arial" w:cs="Arial" w:eastAsia="Arial" w:hAnsi="Arial"/>
          <w:sz w:val="17"/>
          <w:szCs w:val="17"/>
          <w:b w:val="1"/>
          <w:bCs w:val="1"/>
          <w:color w:val="auto"/>
        </w:rPr>
        <w:t xml:space="preserve"> </w:t>
      </w:r>
      <w:r>
        <w:rPr>
          <w:rFonts w:ascii="Arial" w:cs="Arial" w:eastAsia="Arial" w:hAnsi="Arial"/>
          <w:sz w:val="17"/>
          <w:szCs w:val="17"/>
          <w:color w:val="auto"/>
        </w:rPr>
        <w:t>Equity Capital Markets Department since January 2001. Mr. Gurewitz brings over 25 years of investment banking experience focused on growth companies. Since joining Roth in 1999, Mr. Gurewitz has managed over 1,000 public offerings including, but not limited to, IPOs and follow-on offerings. Prior to joining Roth in 1999, Mr. Gurewitz was a Senior Vice President in the Investment Banking Group at Friedman Billings Ramsey from May 1998 to August 1999. From 1995 to April 1998, Mr. Gurewitz was a Vice President in the Corporate Finance Department at Roth, and from 1999 to 2001, Mr. Gurewitz served as a Managing Director in Roth’s Investment Banking Department. Mr. Gurewitz is the Co-President of Roth CH Acquisition V Co. (NASDAQ: ROCL). Mr. Gurewitz was the Co-President of Roth CH Acquisition I Co. (NASDAQ: ROCH) from February 2020 until March 2021, Roth CH Acquisition II Co. (NASDAQ: ROCC) from August 2020 until July 2021 and Roth CH Acquisition III Co. (NASDAQ: ROCR) from August 2020 until February 2022. Mr. Gurewitz graduated cum laude from San Diego State University with a B.S. in Finance.</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Andrew Costa </w:t>
      </w:r>
      <w:r>
        <w:rPr>
          <w:rFonts w:ascii="Arial" w:cs="Arial" w:eastAsia="Arial" w:hAnsi="Arial"/>
          <w:sz w:val="18"/>
          <w:szCs w:val="18"/>
          <w:color w:val="auto"/>
        </w:rPr>
        <w:t>has served as our Co-Chief Operating Officer since July 2021. Mr. Costa is a Partner at RX3 Growth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managing all aspects of the fund’s investment process, including sourcing, diligence, investment committee and portfolio management. Prior to RX3, Mr. Costa was the Chief Investment Officer at Roth Capital Partners, LLC where he oversaw Roth’s holding company investment activity, including many early stage venture investments. Prior to joining Roth, Mr. Costa was a Vice President in the Investment Banking Division at Morgan Stanley where he led numerous landmark M&amp;A and equity transactions in the retail, marketplace and eCommerce sectors. Prior to Morgan Stanley, Mr. Costa was an Investment Banker at J.P. Morgan, and prior to that, served as a Captain in the U.S. Air Force. Mr. Costa is the Co-Chief Operating Officer of Roth CH Acquisition V Co. (NASDAQ: ROCL). Mr. Costa is a Board member of Kroma Wellness PBC and a serial SPAC sponsor under the RothCH franchise. Mr. Costa graduated from the U.S. Air Force Academy with a B.S. in Systems Engineering Management and earned an MBA from USC’s Marshall School of Business.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Matthew Day has served as our Co-Chief Operating Officer since July 2021. Mr. Day is a Managing Director in the Investment Banking department at Roth Capital Partners, LLC with a focus on Business Services and Technology. Prior to joining Roth in 2019, Mr. Day spent 12 years as a senior equity analyst at Sagard Capital Partners, an investment firm that built and managed large minority positions in U.S. and Canadian publicly traded companies. At Sagard, Mr. Day focused primarily on businesses in the business services, industrial and consumer sectors. Prior to this role, he was a senior equity analyst and private equity associate at Xylem Investments from 2002 to</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2006, where he served on boards of three private forestry companies in New Zealand, Chile and Venezuela. From 2000 to 2002, Mr. Day was an investment banking associate at Lehman Brothers in the global technology group. He also worked as an associate and analyst at Barclays Capital from 1995 to 1999, where he focused on the telecom, media and transportation industries. Mr. Day is the Co-Chief Operating Officer of Roth CH Acquisition V Co. (NASDAQ: ROCL). Mr. Day has a B.S. in Finance from Boston College and an MBA from the University of California Berkeley Haas School of Business.</w:t>
      </w:r>
    </w:p>
    <w:p>
      <w:pPr>
        <w:spacing w:after="0" w:line="18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Molly Montgomery </w:t>
      </w:r>
      <w:r>
        <w:rPr>
          <w:rFonts w:ascii="Arial" w:cs="Arial" w:eastAsia="Arial" w:hAnsi="Arial"/>
          <w:sz w:val="16"/>
          <w:szCs w:val="16"/>
          <w:color w:val="auto"/>
        </w:rPr>
        <w:t>became a member of our Board of Directors on August 5, 2021. Since January 2020, Ms. Montgomery has been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the Board of Directors at Wilbur-Ellis Company Inc., a privately-owned family business based in San Francisco with revenues over $3.0 billion. Since October 2020, Ms. Montgomery has served as a board director of The Wine Group, a privately-held company that is the second largest wine producer in the U.S. and third largest in the world and as board director of Benson Hill (NYSE: BHIL) since October 2021. Ms. Montgomery has also served as a board director of Custom Made Meals (CMM) since May 2021, a private equity owned company, acting as CEO &amp; President of CMM from May 2022 to February 2023 and served as board director at Balco Holdings from January 2022 to December 2022. Ms. Montgomery also serves as a strategic advisor to early stage companies such as Nuvve Holding Corporation (NASDAQ: NVVE) and Planted Places. Ms. Montgomery was a member of the board of directors of each of Roth CH Acquisition I Co. (NASDAQ: ROCH) from February 2020 until March 2021, Roth CH Acquisition II Co. (NASDAQ: ROCC) from December 2020 until July 2021, and Roth CH Acquisition III Co. (NASDAQ: ROCR) from February 2021 until February 2022. From 2009 to 2019, Ms. Montgomery served as an Executive of Landec Corporation, a publicly-traded company in the health &amp; wellness space with revenues of approximately $550M, and served as Chief Executive Officer, President &amp; Director of Landec Corporation from 2015 to 2019. Ms. Montgomery has also served on the Board of Directors for Windset Farms, one of the largest and most technologically advanced hydroponic greenhouse growers in North America, from 2018 to 2019 and as a director for Flower One, the largest greenhouse grower and producer of cannabis in the State of Nevada from 2020 to 2021. Prior to Landec, from 2006 to 2009, Ms. Montgomery served as VP of Global Marketing and Business Development at Ashland Chemical. Ms. Montgomery has also been an executive in two software companies and held additional positions in strategy, marketing, engineering and operations in a number of other chemical, pharmaceutical and consumer product companies. Ms. Montgomery holds a BES and MEng in Chemical Engineering from the University of Louisville and an MBA from Harvard Business School.</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Daniel M. Friedberg </w:t>
      </w:r>
      <w:r>
        <w:rPr>
          <w:rFonts w:ascii="Arial" w:cs="Arial" w:eastAsia="Arial" w:hAnsi="Arial"/>
          <w:sz w:val="17"/>
          <w:szCs w:val="17"/>
          <w:color w:val="auto"/>
        </w:rPr>
        <w:t>became a member of our Board of Directors on August 5, 2021. Mr. Friedberg was a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each of Roth CH Acquisition I Co. (NASDAQ: ROCH) from February 2020 until March 2021, Roth CH Acquisition II Co. (NASDAQ: ROCC) from December 2020 until July 2021 and Roth CH Acquisition III Co. (NASDAQ: ROCR) from February 2021 until February 2022. Mr. Friedberg has served as Chairman of the Board of Quest Resource Holding Corp. (NASDAQ: QRHC) since April 2019. Mr. Friedberg has served as the Chief Executive Officer of Hampstead Park Capital Management LLC, a private equity investment firm, since its founding in May 2016. Mr. Friedberg was Chief Executive Officer and Managing Partner of Sagard Capital Partners L.P., a private equity investment firm, from its founding in January 2005 until May 2016. In addition, from January 2005 to May 2016, Mr. Friedberg was also a Vice President of Power Corporation of Canada, a diversified international management holding company. Mr. Friedberg was with global strategy management consultants Bain &amp; Company, as a consultant from 1987 to 1991 and then again as a Partner from 1997 to 2005. Mr. Friedberg started with Bain &amp; Company in the London office in 1987, was a founder of the Toronto office in 1991, and a founder of the New York office in 2000, leading the Canadian and New York private equity businesses. From 1991 to 1997, Mr. Friedberg worked as Vice President of Strategy and Development for a U.S.-based global conglomerate and as an investment professional in a Connecticut-based boutique private equity firm. Mr. Friedberg currently serves on the Board at Buttonwood Networks and USA Field Hockey. Mr. Friedberg serves on the Board of Directors of Point Pickup Technologies and Triphammer Ventures LLC and has previously served on the Board of Directors at GP Strategies Corp. (GPX), InnerWorkings, Inc. (INWK), Performance Sports Group Ltd. (PSG) and X-Rite, Inc. (XRIT). Mr. Friedberg has a Master’s in Business Administration from the Johnson School at Cornell University’s College of Business, and a Bachelor of Science (Hons.) degree from the University of Manchester Institute of Science &amp; Technology.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Adam Rothstein </w:t>
      </w:r>
      <w:r>
        <w:rPr>
          <w:rFonts w:ascii="Arial" w:cs="Arial" w:eastAsia="Arial" w:hAnsi="Arial"/>
          <w:sz w:val="17"/>
          <w:szCs w:val="17"/>
          <w:color w:val="auto"/>
        </w:rPr>
        <w:t>became a member of our Board of Directors on August 5, 2021. Mr. Rothstein is a Co-Founder and General Partner of</w:t>
      </w:r>
      <w:r>
        <w:rPr>
          <w:rFonts w:ascii="Arial" w:cs="Arial" w:eastAsia="Arial" w:hAnsi="Arial"/>
          <w:sz w:val="17"/>
          <w:szCs w:val="17"/>
          <w:b w:val="1"/>
          <w:bCs w:val="1"/>
          <w:color w:val="auto"/>
        </w:rPr>
        <w:t xml:space="preserve"> </w:t>
      </w:r>
      <w:r>
        <w:rPr>
          <w:rFonts w:ascii="Arial" w:cs="Arial" w:eastAsia="Arial" w:hAnsi="Arial"/>
          <w:sz w:val="17"/>
          <w:szCs w:val="17"/>
          <w:color w:val="auto"/>
        </w:rPr>
        <w:t>Disruptive Technology Partners, an Israeli technology-focused early-stage investment fund, and Disruptive Growth, a collection of late-stage investment vehicles focused on Israeli technology, which he co-founded in 2013 and 2014, respectively. Since 2014, Mr. Rothstein has also been the Managing Member of 1007 Mountain Drive Partners, LLC, which is a consulting and investment vehicle. Mr. Rothstein was the Executive Chairman of 890 5th Avenue Partners, Inc. (NASDAQ: ENFA), a special purpose acquisition company, from September 2020 until December 2021 when 890 5th Avenue Partners, Inc. completed its business combination with BuzzFeed, Inc. (NASDAQ: BZFD). Mr. Rothstein joined the Board of BuzzFeed, Inc. upon closure. Mr. Rothstein was a director of Roth CH Acquisition I Co. (NASDAQ: ROCH) from February 2020 until March 2021. Roth CH Acquisition I Co. was a special purpose acquisition company that merged with PureCycle Technologies LLC and is now publicly listed on NASDAQ as PureCycle Technologies, Inc. (NASDAQ: PCT). Mr. Rothstein was a director of Roth CH Acquisition II Co. (NASDAQ: ROCC) from December 2020 until July 2021. Roth CH Acquisition II Co. was a special purpose acquisition company that merged with Reservoir Holdings, Inc. and is now publicly listed on NASDAQ as Reservoir Media, Inc. (NASDAQ: RMI). In July 2021, Mr. Rothstein was named a director of Reservoir Media, Inc. Mr. Rothstein was also a director of Roth CH Acquisition III Co. (NASDAQ: ROCR) from March 2021 until February 2022. Roth CH Acquisition III Co. was a special purpose acquisition company that completed a business combination with QualTek HoldCo, LLC and is now publicly listed on NASDAQ as QualTek Services Inc. (NASDAQ: QTEK). Mr. Rothstein has also served as a director of Roth CH Acquisition V Co. (NASDAQ: ROCL), a special purpose acquisition company, since November 2021. Previously, from July 2019 until January 2021, Mr. Rothstein was a director of Subversive Capital Acquisition Corp. (NEO: SVC.A.U) (OTCQX: SBVCF), a special purpose acquisition company that partnered with Shawn “JAY-Z” Carter and Roc Nation in January 2021 to acquire CMG Partners Inc. and Left Coast Ventures, Inc., and which now trades as TPCO Holding Corp. (NEO: GRAM.U) (OTCQX: GRAMF). Mr. Rothstein has over 25 years of investment experience, and currently sits on the boards of directors of several early- and mid-stage technology and media companies both in the US and in Israel and is on the Advisory Board for the Leeds School of Business at the University of Colorado, Boulder. Mr. Rothstein graduated summa cum laude with a Bachelor of Science in Economics from the Wharton School of Business at the University of Pennsylvania and has a Master of Philosophy (MPhil) in Finance from the University of Cambridge.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color w:val="auto"/>
        </w:rPr>
        <w:t xml:space="preserve">Sam Chawla </w:t>
      </w:r>
      <w:r>
        <w:rPr>
          <w:rFonts w:ascii="Arial" w:cs="Arial" w:eastAsia="Arial" w:hAnsi="Arial"/>
          <w:sz w:val="17"/>
          <w:szCs w:val="17"/>
          <w:color w:val="auto"/>
        </w:rPr>
        <w:t>became a member of our Board of Directors on August 5, 2021. Mr. Chawla has served as a member of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Roth CH Acquisition V Co. (NASDAQ: ROCL) since November 2021. Mr. Chawla was a director of Roth CH Acquisition</w:t>
      </w:r>
    </w:p>
    <w:p>
      <w:pPr>
        <w:spacing w:after="0" w:line="1" w:lineRule="exact"/>
        <w:rPr>
          <w:sz w:val="20"/>
          <w:szCs w:val="20"/>
          <w:color w:val="auto"/>
        </w:rPr>
      </w:pPr>
    </w:p>
    <w:p>
      <w:pPr>
        <w:jc w:val="both"/>
        <w:ind w:firstLine="8"/>
        <w:spacing w:after="0" w:line="268" w:lineRule="auto"/>
        <w:tabs>
          <w:tab w:leader="none" w:pos="258"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 (NASDAQ: ROCR) from April 2021 until February 2022. Roth CH Acquisition III Co. was a special purpose acquisition company that completed a business combination with QualTek HoldCo, LLC and is now publicly listed on NASDAQ as QualTek Services Inc. (NASDAQ: QTEK). In February 2022, Mr. Chawla was named a director of QualTek Services Inc. Mr. Chawla has been a Portfolio Manager of Perceptive Advisors LLC, an investment fund focused on the healthcare sector, since 2013. Prior to joining Perceptive Advisors in 2013, Mr. Chawla was a Managing Director at UBS in the Global Healthcare Group. Mr. Chawla’s investment banking experience centered on strategic advisory work for both public and private healthcare companies. Prior to joining UBS in September 2010, Mr. Chawla was a Director (from January 2009 to September 2010) and a Vice President (from July 2007 to January 2009) in the Healthcare Investment Banking Group of Credit Suisse, which Mr. Chawla originally joined as an investment banker in 2002. Mr. Chawla also worked at Bloomberg L.P. and Pelican Life Sciences. Mr. Chawla received an M.B.A. from Georgetown University and a B.A. in Economics from Johns Hopkins University.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consists of six directors. In accordance with Nasdaq corporate governance requirements, we are not required to hold an annual meeting until one year after our first fiscal year end following our listing on Nasdaq. The term of office of each of directors will expire at our first annual meeting of stockholders.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the board of directors at its first meeting after each annual meeting of stockholders shall choose a Chief Executive Officer, a Secretary and a Treasurer, none of whom need be a member of the board. The board of directors may also choose a Chairman from among the directors, one or more Executive Vice Presidents, one or more Vice Presidents, Assistant Secretaries and Assistant Treasurers. The board of directors may appoint such other officers and agents as it shall deem necessary, who shall hold their offices for such terms and shall exercise such powers and perform such duties as shall be determined from time to time by the board of directors. More than two offices may be held by the same person.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Nasdaq requires that a majority of our Board must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Molly Montgomery, Daniel M. Friedberg, Adam Rothstein, and Sam Chawla are our independent directors. Our independent directors will have regularly scheduled meetings at which only independent directors are present. Any affiliated transactions will be on terms that our Board believes are no less favorable to us than could be obtained from independent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has three standing committees: an audit committee, a corporate governance and nominating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 Each committee has a charter, in the form previously filed with the SEC as exhibits to the Company’s Registration Statement on Form S-1, as amended, adopted in connection with the consummation of the IPO.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established an audit committee of the Board of Directors, which consists of Molly Montgomery, Daniel M. Friedberg, and Adam Rothstein, each of whom is an independent director under Nasdaq’s listing standards. Daniel M. Friedberg is the chairperson of the audit committee. The audit committee’s duties, which are specified in our Audit Committee Charter, include, but are not limited to:</w:t>
      </w:r>
    </w:p>
    <w:p>
      <w:pPr>
        <w:spacing w:after="0" w:line="149" w:lineRule="exact"/>
        <w:rPr>
          <w:sz w:val="20"/>
          <w:szCs w:val="20"/>
          <w:color w:val="auto"/>
        </w:rPr>
      </w:pPr>
    </w:p>
    <w:p>
      <w:pPr>
        <w:ind w:left="1000" w:right="20" w:hanging="641"/>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auditor the annual audited financial statements, and recommending to the board whether the audited financial statements should be included in our Form 10-K;</w:t>
      </w:r>
    </w:p>
    <w:p>
      <w:pPr>
        <w:spacing w:after="0" w:line="146" w:lineRule="exact"/>
        <w:rPr>
          <w:rFonts w:ascii="Arial" w:cs="Arial" w:eastAsia="Arial" w:hAnsi="Arial"/>
          <w:sz w:val="17"/>
          <w:szCs w:val="17"/>
          <w:color w:val="auto"/>
        </w:rPr>
      </w:pPr>
    </w:p>
    <w:p>
      <w:pPr>
        <w:ind w:left="1000" w:hanging="64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70" w:lineRule="exact"/>
        <w:rPr>
          <w:rFonts w:ascii="Arial" w:cs="Arial" w:eastAsia="Arial" w:hAnsi="Arial"/>
          <w:sz w:val="18"/>
          <w:szCs w:val="18"/>
          <w:color w:val="auto"/>
        </w:rPr>
      </w:pPr>
    </w:p>
    <w:p>
      <w:pPr>
        <w:ind w:left="1000" w:hanging="64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225" w:lineRule="exact"/>
        <w:rPr>
          <w:rFonts w:ascii="Arial" w:cs="Arial" w:eastAsia="Arial" w:hAnsi="Arial"/>
          <w:sz w:val="18"/>
          <w:szCs w:val="18"/>
          <w:color w:val="auto"/>
        </w:rPr>
      </w:pPr>
    </w:p>
    <w:p>
      <w:pPr>
        <w:ind w:left="1000" w:hanging="64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70" w:lineRule="exact"/>
        <w:rPr>
          <w:rFonts w:ascii="Arial" w:cs="Arial" w:eastAsia="Arial" w:hAnsi="Arial"/>
          <w:sz w:val="18"/>
          <w:szCs w:val="18"/>
          <w:color w:val="auto"/>
        </w:rPr>
      </w:pPr>
    </w:p>
    <w:p>
      <w:pPr>
        <w:ind w:left="1000" w:hanging="64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225" w:lineRule="exact"/>
        <w:rPr>
          <w:rFonts w:ascii="Arial" w:cs="Arial" w:eastAsia="Arial" w:hAnsi="Arial"/>
          <w:sz w:val="18"/>
          <w:szCs w:val="18"/>
          <w:color w:val="auto"/>
        </w:rPr>
      </w:pPr>
    </w:p>
    <w:p>
      <w:pPr>
        <w:ind w:left="1000" w:hanging="641"/>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70" w:lineRule="exact"/>
        <w:rPr>
          <w:rFonts w:ascii="Arial" w:cs="Arial" w:eastAsia="Arial" w:hAnsi="Arial"/>
          <w:sz w:val="18"/>
          <w:szCs w:val="18"/>
          <w:color w:val="auto"/>
        </w:rPr>
      </w:pPr>
    </w:p>
    <w:p>
      <w:pPr>
        <w:ind w:left="1000" w:hanging="64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225" w:lineRule="exact"/>
        <w:rPr>
          <w:rFonts w:ascii="Arial" w:cs="Arial" w:eastAsia="Arial" w:hAnsi="Arial"/>
          <w:sz w:val="18"/>
          <w:szCs w:val="18"/>
          <w:color w:val="auto"/>
        </w:rPr>
      </w:pPr>
    </w:p>
    <w:p>
      <w:pPr>
        <w:jc w:val="both"/>
        <w:ind w:left="1000" w:hanging="641"/>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83" w:lineRule="exact"/>
        <w:rPr>
          <w:rFonts w:ascii="Arial" w:cs="Arial" w:eastAsia="Arial" w:hAnsi="Arial"/>
          <w:sz w:val="18"/>
          <w:szCs w:val="18"/>
          <w:color w:val="auto"/>
        </w:rPr>
      </w:pPr>
    </w:p>
    <w:p>
      <w:pPr>
        <w:ind w:left="1000" w:hanging="641"/>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641"/>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approving reimbursement of expenses incurred by our management team in identifying potential target businesses.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Pursuant to Nasdaq rules, the audit committee will at all times be composed exclusively of independent directors who are able to read and understand fundamental financial statements, including a company’s balance sheet, income statement and cash flow statement.</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Daniel M. Friedberg qualifies as an “audit committee financial expert,” as defined under the rules and regulations of Nasdaq and the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established a corporate governance and nominating committee of the Board of Directors, which consists of Molly Montgomery, Daniel M. Friedberg, and Adam Rothstein, each of whom is an independent director under Nasdaq’s listing standards. Adam Rothstein is the chairperson of the corporate governance and nominating committee. The corporate governance and nominating committee is responsible for overseeing the selection of persons to be nominated to serve on our Board of Directors. The corporate governance and nominating committee considers persons identified by its members, management, stockholders, investment bankers and others.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guidelines for selecting nominees, which are specified in the Corporate Governance and Nominating Committee Charter, generally provide that persons to be nominated:</w:t>
      </w:r>
    </w:p>
    <w:p>
      <w:pPr>
        <w:spacing w:after="0" w:line="170" w:lineRule="exact"/>
        <w:rPr>
          <w:sz w:val="20"/>
          <w:szCs w:val="20"/>
          <w:color w:val="auto"/>
        </w:rPr>
      </w:pPr>
    </w:p>
    <w:p>
      <w:pPr>
        <w:ind w:left="1000" w:hanging="641"/>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225" w:lineRule="exact"/>
        <w:rPr>
          <w:rFonts w:ascii="Arial" w:cs="Arial" w:eastAsia="Arial" w:hAnsi="Arial"/>
          <w:sz w:val="18"/>
          <w:szCs w:val="18"/>
          <w:color w:val="auto"/>
        </w:rPr>
      </w:pPr>
    </w:p>
    <w:p>
      <w:pPr>
        <w:ind w:left="1000" w:right="20" w:hanging="641"/>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70" w:lineRule="exact"/>
        <w:rPr>
          <w:rFonts w:ascii="Arial" w:cs="Arial" w:eastAsia="Arial" w:hAnsi="Arial"/>
          <w:sz w:val="18"/>
          <w:szCs w:val="18"/>
          <w:color w:val="auto"/>
        </w:rPr>
      </w:pPr>
    </w:p>
    <w:p>
      <w:pPr>
        <w:ind w:left="1000" w:hanging="641"/>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stockholders.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corporate governance and nominating committee will consider a number of qualifications relating to management and leadership experience, background and integrity and professionalism in evaluating a person’s candidacy for membership on the Board of Directors. The corporate governance and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corporate governance and nominating committee does not distinguish among nominees recommended by stockholders and other persons.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a compensation committee of the Board of Directors, which consists of Molly Montgomery, Daniel M. Friedberg, and Adam Rothstein, each of whom is an independent director under Nasdaq’s listing standards. Molly Montgomery is the chairperson of the compensation committee. The compensation committee’s duties, which are specified in our Compensation Committee Charter, include, but are not limited to:</w:t>
      </w:r>
    </w:p>
    <w:p>
      <w:pPr>
        <w:spacing w:after="0" w:line="187" w:lineRule="exact"/>
        <w:rPr>
          <w:sz w:val="20"/>
          <w:szCs w:val="20"/>
          <w:color w:val="auto"/>
        </w:rPr>
      </w:pPr>
    </w:p>
    <w:p>
      <w:pPr>
        <w:jc w:val="both"/>
        <w:ind w:left="1000" w:hanging="641"/>
        <w:spacing w:after="0" w:line="286"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165" w:lineRule="exact"/>
        <w:rPr>
          <w:rFonts w:ascii="Arial" w:cs="Arial" w:eastAsia="Arial" w:hAnsi="Arial"/>
          <w:sz w:val="17"/>
          <w:szCs w:val="17"/>
          <w:color w:val="auto"/>
        </w:rPr>
      </w:pPr>
    </w:p>
    <w:p>
      <w:pPr>
        <w:ind w:left="1000" w:hanging="64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64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1000" w:right="20" w:hanging="641"/>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70" w:lineRule="exact"/>
        <w:rPr>
          <w:rFonts w:ascii="Arial" w:cs="Arial" w:eastAsia="Arial" w:hAnsi="Arial"/>
          <w:sz w:val="18"/>
          <w:szCs w:val="18"/>
          <w:color w:val="auto"/>
        </w:rPr>
      </w:pPr>
    </w:p>
    <w:p>
      <w:pPr>
        <w:ind w:left="1000" w:hanging="64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1000" w:hanging="641"/>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as indicated above,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adopted a code of conduct and ethics that applies to all of our executive officers, directors and employees. The code of ethics codifies the business and ethical principles that govern all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as amended, or the Exchange Act, requires our executive officers, directors and persons who beneficially own more than 10% of a registered class of our equity securities to file with the SEC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executive officer has received any cash compensation for services rendered to us. No compensation of any kind, including finders, consulting or other similar fees, will be paid to any of our existing stockholders, including our directors, or any of their respective affiliates, prior to, or for any services they render in order to effectuate, the consummation of a business combination. However, such individuals will be reimbursed for any out-of-pocket expenses incurred in connection with activities on our behalf such as identifying potential target businesses and performing due diligence on suitable business combinations. There is no limit on the amount of these out-of-pocket expenses and there will be no review of the reasonableness of the expenses by anyone other than our board of directors and audit committee, which includes persons who may seek reimbursement, or a court of competent jurisdiction if such reimbursement is challenged.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166"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following table sets forth, as of March 29, 2023, certain information regarding beneficial ownership of the Company’s common stock by each person who is known by the Company to beneficially own more than 5% of the Company’s common stock. The table also identifies the stock ownership of each of the Company’s directors and officers, and all directors and officers as a group. Except as otherwise indicated, the stockholders listed in the table have sole voting and investment powers with respect to the shares indicated.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common stock which an individual or group has a right to acquire within 60 days pursuant to the exercise or conversion of options, warrants or other similar convertible or derivative securities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Amount and Nature</w:t>
            </w:r>
          </w:p>
        </w:tc>
        <w:tc>
          <w:tcPr>
            <w:tcW w:w="222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48"/>
        </w:trPr>
        <w:tc>
          <w:tcPr>
            <w:tcW w:w="6280" w:type="dxa"/>
            <w:vAlign w:val="bottom"/>
            <w:gridSpan w:val="2"/>
            <w:vMerge w:val="continue"/>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2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Beneficial Owner(1)</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Ownership(2)</w:t>
            </w:r>
          </w:p>
        </w:tc>
        <w:tc>
          <w:tcPr>
            <w:tcW w:w="22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4"/>
              </w:rPr>
              <w:t>Outstanding Common Stock (%)</w:t>
            </w: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Byron Roth(3)(4)</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1,243,137</w:t>
            </w:r>
          </w:p>
        </w:tc>
        <w:tc>
          <w:tcPr>
            <w:tcW w:w="1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John Lipman</w:t>
            </w:r>
          </w:p>
        </w:tc>
        <w:tc>
          <w:tcPr>
            <w:tcW w:w="1260" w:type="dxa"/>
            <w:vAlign w:val="bottom"/>
          </w:tcPr>
          <w:p>
            <w:pPr>
              <w:jc w:val="right"/>
              <w:spacing w:after="0"/>
              <w:rPr>
                <w:sz w:val="20"/>
                <w:szCs w:val="20"/>
                <w:color w:val="auto"/>
              </w:rPr>
            </w:pPr>
            <w:r>
              <w:rPr>
                <w:rFonts w:ascii="Arial" w:cs="Arial" w:eastAsia="Arial" w:hAnsi="Arial"/>
                <w:sz w:val="18"/>
                <w:szCs w:val="18"/>
                <w:color w:val="auto"/>
              </w:rPr>
              <w:t>801,091</w:t>
            </w:r>
          </w:p>
        </w:tc>
        <w:tc>
          <w:tcPr>
            <w:tcW w:w="16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Roth(3)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861,338</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Rick Hartfiel</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Gurewitz(5)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128,386</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Andrew Costa</w:t>
            </w:r>
          </w:p>
        </w:tc>
        <w:tc>
          <w:tcPr>
            <w:tcW w:w="1260" w:type="dxa"/>
            <w:vAlign w:val="bottom"/>
          </w:tcPr>
          <w:p>
            <w:pPr>
              <w:jc w:val="right"/>
              <w:spacing w:after="0"/>
              <w:rPr>
                <w:sz w:val="20"/>
                <w:szCs w:val="20"/>
                <w:color w:val="auto"/>
              </w:rPr>
            </w:pPr>
            <w:r>
              <w:rPr>
                <w:rFonts w:ascii="Arial" w:cs="Arial" w:eastAsia="Arial" w:hAnsi="Arial"/>
                <w:sz w:val="18"/>
                <w:szCs w:val="18"/>
                <w:color w:val="auto"/>
              </w:rPr>
              <w:t>17,791</w:t>
            </w: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Day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35,583</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Molly Montgomery</w:t>
            </w:r>
          </w:p>
        </w:tc>
        <w:tc>
          <w:tcPr>
            <w:tcW w:w="1260" w:type="dxa"/>
            <w:vAlign w:val="bottom"/>
          </w:tcPr>
          <w:p>
            <w:pPr>
              <w:jc w:val="right"/>
              <w:spacing w:after="0"/>
              <w:rPr>
                <w:sz w:val="20"/>
                <w:szCs w:val="20"/>
                <w:color w:val="auto"/>
              </w:rPr>
            </w:pPr>
            <w:r>
              <w:rPr>
                <w:rFonts w:ascii="Arial" w:cs="Arial" w:eastAsia="Arial" w:hAnsi="Arial"/>
                <w:sz w:val="18"/>
                <w:szCs w:val="18"/>
                <w:color w:val="auto"/>
              </w:rPr>
              <w:t>33,034</w:t>
            </w: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M. Friedberg(6)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33,034</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Adam Rothstein</w:t>
            </w:r>
          </w:p>
        </w:tc>
        <w:tc>
          <w:tcPr>
            <w:tcW w:w="1260" w:type="dxa"/>
            <w:vAlign w:val="bottom"/>
          </w:tcPr>
          <w:p>
            <w:pPr>
              <w:jc w:val="right"/>
              <w:spacing w:after="0"/>
              <w:rPr>
                <w:sz w:val="20"/>
                <w:szCs w:val="20"/>
                <w:color w:val="auto"/>
              </w:rPr>
            </w:pPr>
            <w:r>
              <w:rPr>
                <w:rFonts w:ascii="Arial" w:cs="Arial" w:eastAsia="Arial" w:hAnsi="Arial"/>
                <w:sz w:val="18"/>
                <w:szCs w:val="18"/>
                <w:color w:val="auto"/>
              </w:rPr>
              <w:t>33,034</w:t>
            </w:r>
          </w:p>
        </w:tc>
        <w:tc>
          <w:tcPr>
            <w:tcW w:w="1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 Chawla</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33,034</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 officers and directors as a group (11 individuals)(3)</w:t>
            </w:r>
          </w:p>
        </w:tc>
        <w:tc>
          <w:tcPr>
            <w:tcW w:w="1260" w:type="dxa"/>
            <w:vAlign w:val="bottom"/>
          </w:tcPr>
          <w:p>
            <w:pPr>
              <w:jc w:val="right"/>
              <w:spacing w:after="0"/>
              <w:rPr>
                <w:sz w:val="20"/>
                <w:szCs w:val="20"/>
                <w:color w:val="auto"/>
              </w:rPr>
            </w:pPr>
            <w:r>
              <w:rPr>
                <w:rFonts w:ascii="Arial" w:cs="Arial" w:eastAsia="Arial" w:hAnsi="Arial"/>
                <w:sz w:val="18"/>
                <w:szCs w:val="18"/>
                <w:color w:val="auto"/>
              </w:rPr>
              <w:t>1,694,406</w:t>
            </w:r>
          </w:p>
        </w:tc>
        <w:tc>
          <w:tcPr>
            <w:tcW w:w="16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 Financial Holdings, Inc.(7)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762,528</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CHLM Sponsor LLC(8)</w:t>
            </w:r>
          </w:p>
        </w:tc>
        <w:tc>
          <w:tcPr>
            <w:tcW w:w="1260" w:type="dxa"/>
            <w:vAlign w:val="bottom"/>
          </w:tcPr>
          <w:p>
            <w:pPr>
              <w:jc w:val="right"/>
              <w:spacing w:after="0"/>
              <w:rPr>
                <w:sz w:val="20"/>
                <w:szCs w:val="20"/>
                <w:color w:val="auto"/>
              </w:rPr>
            </w:pPr>
            <w:r>
              <w:rPr>
                <w:rFonts w:ascii="Arial" w:cs="Arial" w:eastAsia="Arial" w:hAnsi="Arial"/>
                <w:sz w:val="18"/>
                <w:szCs w:val="18"/>
                <w:color w:val="auto"/>
              </w:rPr>
              <w:t>801,091</w:t>
            </w:r>
          </w:p>
        </w:tc>
        <w:tc>
          <w:tcPr>
            <w:tcW w:w="160" w:type="dxa"/>
            <w:vAlign w:val="bottom"/>
          </w:tcPr>
          <w:p>
            <w:pPr>
              <w:spacing w:after="0"/>
              <w:rPr>
                <w:sz w:val="18"/>
                <w:szCs w:val="18"/>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Owl Creek Asset Management, L.P.(9)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Polar Asset Management Partners Inc.(10)</w:t>
            </w:r>
          </w:p>
        </w:tc>
        <w:tc>
          <w:tcPr>
            <w:tcW w:w="1260" w:type="dxa"/>
            <w:vAlign w:val="bottom"/>
          </w:tcPr>
          <w:p>
            <w:pPr>
              <w:jc w:val="right"/>
              <w:spacing w:after="0"/>
              <w:rPr>
                <w:sz w:val="20"/>
                <w:szCs w:val="20"/>
                <w:color w:val="auto"/>
              </w:rPr>
            </w:pPr>
            <w:r>
              <w:rPr>
                <w:rFonts w:ascii="Arial" w:cs="Arial" w:eastAsia="Arial" w:hAnsi="Arial"/>
                <w:sz w:val="18"/>
                <w:szCs w:val="18"/>
                <w:color w:val="auto"/>
              </w:rPr>
              <w:t>475,000</w:t>
            </w:r>
          </w:p>
        </w:tc>
        <w:tc>
          <w:tcPr>
            <w:tcW w:w="160" w:type="dxa"/>
            <w:vAlign w:val="bottom"/>
          </w:tcPr>
          <w:p>
            <w:pPr>
              <w:spacing w:after="0"/>
              <w:rPr>
                <w:sz w:val="20"/>
                <w:szCs w:val="20"/>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stockholders is c/o Roth CH Acquisition IV Co., 888 San Clemente Drive, Newport Beach, CA 92660.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shares issuable pursuant to warrants issued in connection with the IPO, as such warrants are not exercisable until 30 days after the consummation of the Company’s initial business combination.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shares owned by CR Financial Holdings, Inc., over which Byron Roth and Gordon Roth have voting and dispositive power.</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30,538 shares held in an IRA for the benefit of Byron Roth.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shares owned by the AMG Trust Established January 23, 2007, for which Aaron Gurewitz is trustee.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Consists of shares owned by Hampstead Park Capital Management LLC, of which Mr. Friedberg is the managing member.</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Byron Roth and Gordon Roth have voting and dispositive power over the shares owned by CR Financial Holdings, Inc.</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Steve Dyer, Chief Executive Officer and Managing Partner of Craig-Hallum Capital Group LLC, has voting and dispositive shares owned by CHLM Sponsor LLC.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reported is based on a Schedule 13G filed on February 9, 2023. According to the Schedule 13G, as of December 31, 2021, Owl Creek Asset Management, L.P. (“Owl Creek”) and Jeffrey A. Altman shared voting and dispositive power with respect to 400,000 shares of our common stock. The address for Owl Creek and Mr. Altman is 640 Fifth Avenue, 20th Floor, New York, NY 10019.</w:t>
      </w:r>
    </w:p>
    <w:p>
      <w:pPr>
        <w:spacing w:after="0" w:line="186"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reported is based on a Schedule 13G/A filed on February 14, 2023. According to the Schedule 13G/A, as of December 31, 2021, Polar Asset Management Partners Inc. (“Polar”) had sole voting and dispositive power with respect to 475,000 shares of our common stock. The address for Polar is 16 York Street, Suite 2900, Toronto, ON, Canada M5J 0E6.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2019, CR Financial Holdings, Inc., an entity affiliated with Roth Capital Partners, LLC, purchased an aggregate of 100 shares from us for an aggregate purchase price of $25,000. On June 29, 2020, we effected a dividend of 43,125 shares of common stock for each share outstanding resulting in there being an aggregate of 4,312,500 shares outstanding. In July and August 2020, CHLM Sponsor LLC, an entity affiliated with Craig-Hallum Capital Group LLC, and certain of our directors, officers and affiliates of our management team purchased from CR Financial Holdings, Inc. an aggregate of 3,022,825 shares for an aggregate purchase price of $17,523.61. On July 1, 2021, certain of our initial stockholders sold an aggregate of 1,490,874 shares back to us for an aggregate purchase price of $8,642.75. Of those shares, 1,437,500 shares were cancelled and the remaining 53,374 shares were purchased by certain of our officers from us for an aggregate purchase price of $464.11, resulting in there being 2,875,000 shares outstanding. On July 1, 2021, certain of our directors purchased from CR Financial Holdings, Inc. an aggregate of 113,860 shares for an aggregate purchase price of $990.10.</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of the insider shares issued and outstanding prior to our initial public offering have been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3, 2021, we issued an unsecured promissory note to CR Financial Holdings, Inc., an entity affiliated with Roth Capital Partners, LLC, pursuant to which we could borrow up to an aggregate principal amount of $200,000. The promissory note was non-interest bearing and payable on the earlier of the consummation of the IPO or the date on which we determined not to proceed with the IPO. The outstanding balance under the promissory note of $200,000 was repaid at the closing of the IPO on August 10, 2021.</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closing of the IPO, certain of the Company’s stockholders prior to the IPO purchased from the Company an aggregate of 461,500 Private Units at $10.00 per Private Unit (for a total purchase price of $4,615,000).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14, 2023, we issued an unsecured promissory note to CR Financial Holdings, Inc., pursuant to which we borrowed an aggregate principal amount of $200,000. The promissory note is non-interest bearing and payable on the earlier of (i) the date on which we consummate a business combination with target businesses, or (ii) the date we liquidate if a business combination is not consummated. In the event that we do not consummate a business combination, the promissory note will be repaid only from amounts remaining outside of the trust account, if 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Loans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paid upon consummation of our initial business combination, without interest.</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do not complete a business combination, the loans will only be repaid with funds not held in the trust account, to the extent available. As of December 31, 2022, the Company had no loans outstanding, including any loans from its initial stockholders, officers, directors or their affiliates.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5, 2021, we entered into a Business Combination Marketing Agreement pursuant to which we engaged Roth and Craig-Hallum as advisors in connection with our initial business combination. We agreed to pay Roth and Craig-Hallum a fee for such services upon the consummation of our initial business combination in an amount equal to, in the aggregate, 4.5% of the gross proceeds of our initial public offering, including any proceeds from the full or partial exercise of the over-allotment option.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Concurrently with the execution of the Merger Agreement, we entered into a letter agreement with Tigo Energy, Roth and Craig-Hallum to terminate the Business Combination Marketing Agreement (the “Letter Agreement”). Pursuant to the Letter Agreement, in exchange for services rendered in connection with the transactions contemplated in the Merger Agreement, Roth may be issued up to 300,000 Advisor Shares (shares of common stock, post-merger) equal to a fixed amount of 100,000 shares, regardless of the amount of equity raised in exchange for services rendered in connection with the transactions contemplated in the Merger Agreement, plus up to 200,000 shares based on the equity raised (“Variable Compensation Shares”). The number of Variable Compensation Shares will be equal to the product of (x) the quotient of equity raised divided by $50.0 million, multiplied by (y) 200,000. The Advisor Shares are issuable based on (a) the gross proceeds received from a capital raising transaction involving the equity securities of Tigo Energy and (b) the amount remaining in the Company’s trust account after giving effect to any redemptions (as further described in the Letter Agreement). On February 23, 2023, we entered into an amendment to the Letter Agreement. Pursuant to the amendment, the agreement was revised so that the term equity raised means the gross proceeds available to the post-Business Combination company immediately after the closing of the Business Combination consisting of (a) the gross proceeds received from a capital raising transaction involving the equity securities or equity-linked instruments of Tigo Energy; provided, however, that the $50.0 million of proceeds from the sale of convertible promissory notes by Tigo Energy to L1 Energy Capital Management S.a.r.l. shall be excluded from the calculation of equity raised; (b) the gross proceeds received from a capital raising transaction involving the equity securities of the Company; and (c) the amount remaining in the Company’s trust account after giving effect to any redemptions.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Byron Roth, Gordon Roth and Aaron Gurewitz are affiliated with Roth, and John Lipman and Rick Hartfiel are affiliated with Craig-Hallum, in addition to being officers or directors (or both, in the case of Byron Roth and John Lipman), as applicable, of the Company. While no direct compensation arrangements regarding such individuals have been entered into regarding such fees, these executives may benefit indirectly from any such amounts payable to their respective organizations in respect of marketing fees, costs and expenses incurred by Roth and Craig-Hallum in connection with the identification, review and negotiation and approval of the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audit committee, pursuant to its written charter, is responsible for reviewing and approving related-party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ectPr>
          <w:pgSz w:w="11900" w:h="16838" w:orient="portrait"/>
          <w:cols w:equalWidth="0" w:num="1">
            <w:col w:w="9920"/>
          </w:cols>
          <w:pgMar w:left="980" w:top="517"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or other firm that commonly provides valuation opinions, that the business combination is fair to our stockholders from a financial point of view and (ii) the approval of a majority of our disinterested and independent directors (if we have any at that time). Furthermore, in no event will any of our initial stockholders, officers, directors or their respective affiliates be paid any finder’s fee, consulting fee or other similar compensation prior to, or for any services they render in order to effectuate, the consummation of our initial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 listing standards require that a majority of our board of directors be independent. For a description of the director independence, see “Part III, Item 10 – Directors, Executive Officers and Corporate Governance.”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Accounting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fees paid or to be paid to Marcum LLP, or Marcum, our independent registered public accounting firm, for services rendered.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consist of fees billed for professional services rendered for the audit of our year-end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services that are normally provided by Marcum in connection with regulatory filings. The aggregate fees billed by Marcum for professional services rendered for the audit of our annual consolidated financial statements, review of the financial information included in our Forms 10-Q for the respective periods and other required filings with the SEC for the years ended December 31, 2022 and 2021 totaled $151,304 and $81,855, respectively. The above amounts include interim procedures and audit fees, as well as attendance at audit committee meetings.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consolidated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years ended December 31, 2022 and 2021.</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We did not pay Marcum for tax compliance, tax planning and tax advice for the years ended December 31, 2022 and 2021.</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Other Fees</w:t>
      </w:r>
      <w:r>
        <w:rPr>
          <w:rFonts w:ascii="Arial" w:cs="Arial" w:eastAsia="Arial" w:hAnsi="Arial"/>
          <w:sz w:val="17"/>
          <w:szCs w:val="17"/>
          <w:color w:val="auto"/>
        </w:rPr>
        <w:t>. We did not pay Marcum for any other products and services for the years ended December 31, 2022 and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7660" w:type="dxa"/>
            <w:vAlign w:val="bottom"/>
            <w:gridSpan w:val="8"/>
          </w:tcPr>
          <w:p>
            <w:pPr>
              <w:spacing w:after="0"/>
              <w:rPr>
                <w:sz w:val="20"/>
                <w:szCs w:val="20"/>
                <w:color w:val="auto"/>
              </w:rPr>
            </w:pPr>
            <w:r>
              <w:rPr>
                <w:rFonts w:ascii="Arial" w:cs="Arial" w:eastAsia="Arial" w:hAnsi="Arial"/>
                <w:sz w:val="18"/>
                <w:szCs w:val="18"/>
                <w:color w:val="0000EE"/>
              </w:rPr>
              <w:t>Table of Contents</w:t>
            </w:r>
          </w:p>
        </w:tc>
        <w:tc>
          <w:tcPr>
            <w:tcW w:w="1720" w:type="dxa"/>
            <w:vAlign w:val="bottom"/>
          </w:tcPr>
          <w:p>
            <w:pPr>
              <w:spacing w:after="0"/>
              <w:rPr>
                <w:sz w:val="17"/>
                <w:szCs w:val="17"/>
                <w:color w:val="auto"/>
              </w:rPr>
            </w:pPr>
          </w:p>
        </w:tc>
      </w:tr>
      <w:tr>
        <w:trPr>
          <w:trHeight w:val="776"/>
        </w:trPr>
        <w:tc>
          <w:tcPr>
            <w:tcW w:w="12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40" w:type="dxa"/>
            <w:vAlign w:val="bottom"/>
            <w:gridSpan w:val="2"/>
          </w:tcPr>
          <w:p>
            <w:pPr>
              <w:ind w:left="380"/>
              <w:spacing w:after="0"/>
              <w:rPr>
                <w:sz w:val="20"/>
                <w:szCs w:val="20"/>
                <w:color w:val="auto"/>
              </w:rPr>
            </w:pPr>
            <w:r>
              <w:rPr>
                <w:rFonts w:ascii="Arial" w:cs="Arial" w:eastAsia="Arial" w:hAnsi="Arial"/>
                <w:sz w:val="18"/>
                <w:szCs w:val="18"/>
                <w:b w:val="1"/>
                <w:bCs w:val="1"/>
                <w:color w:val="auto"/>
              </w:rPr>
              <w:t>PART IV</w:t>
            </w:r>
          </w:p>
        </w:tc>
        <w:tc>
          <w:tcPr>
            <w:tcW w:w="1720" w:type="dxa"/>
            <w:vAlign w:val="bottom"/>
          </w:tcPr>
          <w:p>
            <w:pPr>
              <w:spacing w:after="0"/>
              <w:rPr>
                <w:sz w:val="24"/>
                <w:szCs w:val="24"/>
                <w:color w:val="auto"/>
              </w:rPr>
            </w:pPr>
          </w:p>
        </w:tc>
      </w:tr>
      <w:tr>
        <w:trPr>
          <w:trHeight w:val="432"/>
        </w:trPr>
        <w:tc>
          <w:tcPr>
            <w:tcW w:w="7660" w:type="dxa"/>
            <w:vAlign w:val="bottom"/>
            <w:gridSpan w:val="8"/>
          </w:tcPr>
          <w:p>
            <w:pPr>
              <w:spacing w:after="0"/>
              <w:rPr>
                <w:sz w:val="20"/>
                <w:szCs w:val="20"/>
                <w:color w:val="auto"/>
              </w:rPr>
            </w:pPr>
            <w:r>
              <w:rPr>
                <w:rFonts w:ascii="Arial" w:cs="Arial" w:eastAsia="Arial" w:hAnsi="Arial"/>
                <w:sz w:val="18"/>
                <w:szCs w:val="18"/>
                <w:b w:val="1"/>
                <w:bCs w:val="1"/>
                <w:color w:val="auto"/>
              </w:rPr>
              <w:t>ITEM 15.EXHIBIT AND FINANCIAL STATEMENT SCHEDULES</w:t>
            </w:r>
          </w:p>
        </w:tc>
        <w:tc>
          <w:tcPr>
            <w:tcW w:w="1720" w:type="dxa"/>
            <w:vAlign w:val="bottom"/>
          </w:tcPr>
          <w:p>
            <w:pPr>
              <w:spacing w:after="0"/>
              <w:rPr>
                <w:sz w:val="24"/>
                <w:szCs w:val="24"/>
                <w:color w:val="auto"/>
              </w:rPr>
            </w:pPr>
          </w:p>
        </w:tc>
      </w:tr>
      <w:tr>
        <w:trPr>
          <w:trHeight w:val="432"/>
        </w:trPr>
        <w:tc>
          <w:tcPr>
            <w:tcW w:w="7660" w:type="dxa"/>
            <w:vAlign w:val="bottom"/>
            <w:gridSpan w:val="8"/>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1720" w:type="dxa"/>
            <w:vAlign w:val="bottom"/>
          </w:tcPr>
          <w:p>
            <w:pPr>
              <w:spacing w:after="0"/>
              <w:rPr>
                <w:sz w:val="24"/>
                <w:szCs w:val="24"/>
                <w:color w:val="auto"/>
              </w:rPr>
            </w:pPr>
          </w:p>
        </w:tc>
      </w:tr>
      <w:tr>
        <w:trPr>
          <w:trHeight w:val="432"/>
        </w:trPr>
        <w:tc>
          <w:tcPr>
            <w:tcW w:w="7660" w:type="dxa"/>
            <w:vAlign w:val="bottom"/>
            <w:gridSpan w:val="8"/>
          </w:tcPr>
          <w:p>
            <w:pPr>
              <w:ind w:left="340"/>
              <w:spacing w:after="0"/>
              <w:rPr>
                <w:sz w:val="20"/>
                <w:szCs w:val="20"/>
                <w:color w:val="auto"/>
              </w:rPr>
            </w:pPr>
            <w:r>
              <w:rPr>
                <w:rFonts w:ascii="Arial" w:cs="Arial" w:eastAsia="Arial" w:hAnsi="Arial"/>
                <w:sz w:val="18"/>
                <w:szCs w:val="18"/>
                <w:color w:val="auto"/>
              </w:rPr>
              <w:t>(1)  Consolidated Financial Statements</w:t>
            </w:r>
          </w:p>
        </w:tc>
        <w:tc>
          <w:tcPr>
            <w:tcW w:w="1720" w:type="dxa"/>
            <w:vAlign w:val="bottom"/>
          </w:tcPr>
          <w:p>
            <w:pPr>
              <w:spacing w:after="0"/>
              <w:rPr>
                <w:sz w:val="24"/>
                <w:szCs w:val="24"/>
                <w:color w:val="auto"/>
              </w:rPr>
            </w:pPr>
          </w:p>
        </w:tc>
      </w:tr>
      <w:tr>
        <w:trPr>
          <w:trHeight w:val="405"/>
        </w:trPr>
        <w:tc>
          <w:tcPr>
            <w:tcW w:w="7660" w:type="dxa"/>
            <w:vAlign w:val="bottom"/>
            <w:gridSpan w:val="8"/>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Number 688)</w:t>
            </w:r>
          </w:p>
        </w:tc>
        <w:tc>
          <w:tcPr>
            <w:tcW w:w="1720" w:type="dxa"/>
            <w:vAlign w:val="bottom"/>
          </w:tcPr>
          <w:p>
            <w:pPr>
              <w:ind w:left="1480"/>
              <w:spacing w:after="0"/>
              <w:rPr>
                <w:sz w:val="20"/>
                <w:szCs w:val="20"/>
                <w:color w:val="auto"/>
              </w:rPr>
            </w:pPr>
            <w:r>
              <w:rPr>
                <w:rFonts w:ascii="Arial" w:cs="Arial" w:eastAsia="Arial" w:hAnsi="Arial"/>
                <w:sz w:val="18"/>
                <w:szCs w:val="18"/>
                <w:color w:val="auto"/>
                <w:w w:val="81"/>
              </w:rPr>
              <w:t>F-2</w:t>
            </w: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Consolidated Balance Sheets</w:t>
            </w:r>
          </w:p>
        </w:tc>
        <w:tc>
          <w:tcPr>
            <w:tcW w:w="2120" w:type="dxa"/>
            <w:vAlign w:val="bottom"/>
            <w:tcBorders>
              <w:top w:val="single" w:sz="8" w:color="0000EE"/>
            </w:tcBorders>
            <w:gridSpan w:val="4"/>
          </w:tcPr>
          <w:p>
            <w:pPr>
              <w:spacing w:after="0"/>
              <w:rPr>
                <w:sz w:val="17"/>
                <w:szCs w:val="17"/>
                <w:color w:val="auto"/>
              </w:rPr>
            </w:pPr>
          </w:p>
        </w:tc>
        <w:tc>
          <w:tcPr>
            <w:tcW w:w="3440" w:type="dxa"/>
            <w:vAlign w:val="bottom"/>
            <w:gridSpan w:val="2"/>
          </w:tcPr>
          <w:p>
            <w:pPr>
              <w:spacing w:after="0"/>
              <w:rPr>
                <w:sz w:val="17"/>
                <w:szCs w:val="17"/>
                <w:color w:val="auto"/>
              </w:rPr>
            </w:pPr>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766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Consolidated Statements of Changes in Stockholders’ (Deficit) Equity</w:t>
            </w:r>
          </w:p>
        </w:tc>
        <w:tc>
          <w:tcPr>
            <w:tcW w:w="2580" w:type="dxa"/>
            <w:vAlign w:val="bottom"/>
          </w:tcPr>
          <w:p>
            <w:pPr>
              <w:spacing w:after="0"/>
              <w:rPr>
                <w:sz w:val="17"/>
                <w:szCs w:val="17"/>
                <w:color w:val="auto"/>
              </w:rPr>
            </w:pPr>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28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4780" w:type="dxa"/>
            <w:vAlign w:val="bottom"/>
            <w:gridSpan w:val="4"/>
          </w:tcPr>
          <w:p>
            <w:pPr>
              <w:spacing w:after="0"/>
              <w:rPr>
                <w:sz w:val="17"/>
                <w:szCs w:val="17"/>
                <w:color w:val="auto"/>
              </w:rPr>
            </w:pPr>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31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4500" w:type="dxa"/>
            <w:vAlign w:val="bottom"/>
            <w:gridSpan w:val="3"/>
          </w:tcPr>
          <w:p>
            <w:pPr>
              <w:spacing w:after="0"/>
              <w:rPr>
                <w:sz w:val="17"/>
                <w:szCs w:val="17"/>
                <w:color w:val="auto"/>
              </w:rPr>
            </w:pPr>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F-7</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hereby file as part of this Report the exhibits listed in the attached Exhibit Index.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(b)Exhibits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obtained from the SEC’s website at http://www.sec.gov.</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880" w:type="dxa"/>
            <w:vAlign w:val="bottom"/>
            <w:gridSpan w:val="12"/>
          </w:tcPr>
          <w:p>
            <w:pPr>
              <w:spacing w:after="0"/>
              <w:rPr>
                <w:sz w:val="20"/>
                <w:szCs w:val="20"/>
                <w:color w:val="auto"/>
              </w:rPr>
            </w:pPr>
            <w:r>
              <w:rPr>
                <w:rFonts w:ascii="Arial" w:cs="Arial" w:eastAsia="Arial" w:hAnsi="Arial"/>
                <w:sz w:val="18"/>
                <w:szCs w:val="18"/>
                <w:color w:val="auto"/>
              </w:rPr>
              <w:t>Description</w:t>
            </w:r>
          </w:p>
        </w:tc>
      </w:tr>
      <w:tr>
        <w:trPr>
          <w:trHeight w:val="169"/>
        </w:trPr>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80" w:type="dxa"/>
            <w:vAlign w:val="bottom"/>
            <w:tcBorders>
              <w:top w:val="single" w:sz="8" w:color="auto"/>
            </w:tcBorders>
            <w:gridSpan w:val="12"/>
          </w:tcPr>
          <w:p>
            <w:pPr>
              <w:spacing w:after="0" w:line="169" w:lineRule="exact"/>
              <w:rPr>
                <w:rFonts w:ascii="Arial" w:cs="Arial" w:eastAsia="Arial" w:hAnsi="Arial"/>
                <w:sz w:val="18"/>
                <w:szCs w:val="18"/>
                <w:color w:val="0000EE"/>
                <w:w w:val="95"/>
              </w:rPr>
            </w:pPr>
            <w:hyperlink r:id="rId47">
              <w:r>
                <w:rPr>
                  <w:rFonts w:ascii="Arial" w:cs="Arial" w:eastAsia="Arial" w:hAnsi="Arial"/>
                  <w:sz w:val="18"/>
                  <w:szCs w:val="18"/>
                  <w:color w:val="0000EE"/>
                  <w:w w:val="95"/>
                </w:rPr>
                <w:t>Underwriting Agreement, dated August 5, 2021, by and among the Registrant, Roth Capital Partners, LLC and Craig-</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47">
              <w:r>
                <w:rPr>
                  <w:rFonts w:ascii="Arial" w:cs="Arial" w:eastAsia="Arial" w:hAnsi="Arial"/>
                  <w:sz w:val="18"/>
                  <w:szCs w:val="18"/>
                  <w:color w:val="0000EE"/>
                  <w:w w:val="96"/>
                </w:rPr>
                <w:t>Hallum Capital Group LLC (incorporated by reference to Exhibit 1.1 to the Current Report on Form 8-K filed with the</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Securities and Exchange Commission on August 11, 2021)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Merger Agreement, by and among the Registrant, Tigo Energy, Inc. and Roth IV Merger Sub Inc., dated as of December 5,</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2022. (incorporated by reference to Exhibit 2.1 to the Current Report on Form 8-K filed with the Securities and Exchange</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Commission on December 6, 2022)</w:t>
              </w:r>
            </w:hyperlink>
          </w:p>
        </w:tc>
        <w:tc>
          <w:tcPr>
            <w:tcW w:w="6300" w:type="dxa"/>
            <w:vAlign w:val="bottom"/>
            <w:gridSpan w:val="9"/>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w w:val="95"/>
              </w:rPr>
            </w:pPr>
            <w:hyperlink r:id="rId49">
              <w:r>
                <w:rPr>
                  <w:rFonts w:ascii="Arial" w:cs="Arial" w:eastAsia="Arial" w:hAnsi="Arial"/>
                  <w:sz w:val="18"/>
                  <w:szCs w:val="18"/>
                  <w:color w:val="0000EE"/>
                  <w:w w:val="95"/>
                </w:rPr>
                <w:t>Amended and Restated Certificate of Incorporation (incorporated by reference to Exhibit 3.1 to the Current Report on</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60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Form 8-K filed with the Securities and Exchange Commission on August 11, 2021)</w:t>
              </w:r>
            </w:hyperlink>
          </w:p>
        </w:tc>
        <w:tc>
          <w:tcPr>
            <w:tcW w:w="28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50">
              <w:r>
                <w:rPr>
                  <w:rFonts w:ascii="Arial" w:cs="Arial" w:eastAsia="Arial" w:hAnsi="Arial"/>
                  <w:sz w:val="18"/>
                  <w:szCs w:val="18"/>
                  <w:color w:val="0000EE"/>
                  <w:w w:val="97"/>
                </w:rPr>
                <w:t>Amendment to the Amended and Restated Certificate of Incorporation, dated December 20, 2022 (incorporated by</w:t>
              </w:r>
            </w:hyperlink>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r:id="rId50">
              <w:r>
                <w:rPr>
                  <w:rFonts w:ascii="Arial" w:cs="Arial" w:eastAsia="Arial" w:hAnsi="Arial"/>
                  <w:sz w:val="18"/>
                  <w:szCs w:val="18"/>
                  <w:color w:val="0000EE"/>
                  <w:w w:val="98"/>
                </w:rPr>
                <w:t>reference to Exhibit 3.1 to the Current Report on Form 8-K filed with the Securities and Exchange Commission on</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December 20, 2022)</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By-laws (incorporated by reference to Exhibit 3.6 to the Registration Statement on Form S-1/A filed with the Securities</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18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and Exchange Commission on July 9, 2021)</w:t>
              </w:r>
            </w:hyperlink>
          </w:p>
        </w:tc>
        <w:tc>
          <w:tcPr>
            <w:tcW w:w="56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Specimen Unit Certificate (incorporated by reference to Exhibit 4.1 to the Registration Statement on Form S-1/A filed</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with the Securities and Exchange Commission on August 2, 2021)</w:t>
              </w:r>
            </w:hyperlink>
          </w:p>
        </w:tc>
        <w:tc>
          <w:tcPr>
            <w:tcW w:w="40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Specimen Common Stock Certificate (incorporated by reference to Exhibit 4.2 to the Registration Statement on Form S-</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8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1/A filed with the Securities and Exchange Commission on July 28, 2021)</w:t>
              </w:r>
            </w:hyperlink>
          </w:p>
        </w:tc>
        <w:tc>
          <w:tcPr>
            <w:tcW w:w="350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Specimen Warrant Certificate (incorporated by reference to Exhibit 4.3 to the Registration Statement on Form S-1/A filed</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80" w:type="dxa"/>
            <w:vAlign w:val="bottom"/>
          </w:tcPr>
          <w:p>
            <w:pPr>
              <w:spacing w:after="0"/>
              <w:rPr>
                <w:sz w:val="17"/>
                <w:szCs w:val="17"/>
                <w:color w:val="auto"/>
              </w:rPr>
            </w:pPr>
          </w:p>
        </w:tc>
        <w:tc>
          <w:tcPr>
            <w:tcW w:w="8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with the Securities and Exchange Commission on July 28, 2021)</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Warrant Agreement, dated August 5, 2021, by and between the Registrant and Continental Stock Transfer &amp; Trust</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6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8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55">
              <w:r>
                <w:rPr>
                  <w:rFonts w:ascii="Arial" w:cs="Arial" w:eastAsia="Arial" w:hAnsi="Arial"/>
                  <w:sz w:val="18"/>
                  <w:szCs w:val="18"/>
                  <w:color w:val="0000EE"/>
                  <w:w w:val="97"/>
                </w:rPr>
                <w:t>Company (incorporated by reference to Exhibit 4.1 to the Current Report on Form 8-K filed with the Securities and</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7"/>
                <w:szCs w:val="17"/>
                <w:color w:val="auto"/>
              </w:rPr>
            </w:pPr>
          </w:p>
        </w:tc>
        <w:tc>
          <w:tcPr>
            <w:tcW w:w="8880" w:type="dxa"/>
            <w:vAlign w:val="bottom"/>
            <w:gridSpan w:val="1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Exchange Commission on August 11, 2021)</w:t>
              </w:r>
            </w:hyperlink>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Description of Securities</w:t>
            </w:r>
          </w:p>
        </w:tc>
        <w:tc>
          <w:tcPr>
            <w:tcW w:w="1380" w:type="dxa"/>
            <w:vAlign w:val="bottom"/>
            <w:tcBorders>
              <w:top w:val="single" w:sz="8" w:color="0000EE"/>
            </w:tcBorders>
            <w:gridSpan w:val="2"/>
          </w:tcPr>
          <w:p>
            <w:pPr>
              <w:spacing w:after="0"/>
              <w:rPr>
                <w:sz w:val="17"/>
                <w:szCs w:val="17"/>
                <w:color w:val="auto"/>
              </w:rPr>
            </w:pPr>
          </w:p>
        </w:tc>
        <w:tc>
          <w:tcPr>
            <w:tcW w:w="5700" w:type="dxa"/>
            <w:vAlign w:val="bottom"/>
            <w:gridSpan w:val="8"/>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500"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rPr>
                <w:rFonts w:ascii="Arial" w:cs="Arial" w:eastAsia="Arial" w:hAnsi="Arial"/>
                <w:sz w:val="18"/>
                <w:szCs w:val="18"/>
                <w:color w:val="0000EE"/>
                <w:w w:val="92"/>
              </w:rPr>
            </w:pPr>
            <w:hyperlink r:id="rId57">
              <w:r>
                <w:rPr>
                  <w:rFonts w:ascii="Arial" w:cs="Arial" w:eastAsia="Arial" w:hAnsi="Arial"/>
                  <w:sz w:val="18"/>
                  <w:szCs w:val="18"/>
                  <w:color w:val="0000EE"/>
                  <w:w w:val="92"/>
                </w:rPr>
                <w:t>Letter Agreements, dated August 5, 2021, by and between the Registrant and each of the Registrant’s officers, directors</w:t>
              </w:r>
            </w:hyperlink>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8"/>
              </w:rPr>
            </w:pPr>
            <w:hyperlink r:id="rId57">
              <w:r>
                <w:rPr>
                  <w:rFonts w:ascii="Arial" w:cs="Arial" w:eastAsia="Arial" w:hAnsi="Arial"/>
                  <w:sz w:val="18"/>
                  <w:szCs w:val="18"/>
                  <w:color w:val="0000EE"/>
                  <w:w w:val="98"/>
                </w:rPr>
                <w:t>and initial stockholders (incorporated by reference to Exhibit 10.1 to the Current Report on Form 8-K filed with the</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4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Securities and Exchange Commission on August 11, 2021)</w:t>
              </w:r>
            </w:hyperlink>
          </w:p>
        </w:tc>
        <w:tc>
          <w:tcPr>
            <w:tcW w:w="46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2"/>
              </w:rPr>
            </w:pPr>
            <w:hyperlink r:id="rId58">
              <w:r>
                <w:rPr>
                  <w:rFonts w:ascii="Arial" w:cs="Arial" w:eastAsia="Arial" w:hAnsi="Arial"/>
                  <w:sz w:val="18"/>
                  <w:szCs w:val="18"/>
                  <w:color w:val="0000EE"/>
                  <w:w w:val="92"/>
                </w:rPr>
                <w:t>Investment Management Trust Agreement, dated August 5, 2021, by and between the Registrant and Continental Stock</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58">
              <w:r>
                <w:rPr>
                  <w:rFonts w:ascii="Arial" w:cs="Arial" w:eastAsia="Arial" w:hAnsi="Arial"/>
                  <w:sz w:val="18"/>
                  <w:szCs w:val="18"/>
                  <w:color w:val="0000EE"/>
                  <w:w w:val="95"/>
                </w:rPr>
                <w:t>Transfer &amp; Trust Company (incorporated by reference to Exhibit 10.2 to the Current Report on Form 8-K filed with the</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42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Securities and Exchange Commission on August 11, 2021)</w:t>
              </w:r>
            </w:hyperlink>
          </w:p>
        </w:tc>
        <w:tc>
          <w:tcPr>
            <w:tcW w:w="46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7"/>
              </w:rPr>
            </w:pPr>
            <w:hyperlink r:id="rId59">
              <w:r>
                <w:rPr>
                  <w:rFonts w:ascii="Arial" w:cs="Arial" w:eastAsia="Arial" w:hAnsi="Arial"/>
                  <w:sz w:val="18"/>
                  <w:szCs w:val="18"/>
                  <w:color w:val="0000EE"/>
                  <w:w w:val="97"/>
                </w:rPr>
                <w:t>Stock Escrow Agreement, dated August 5, 2021, by and among the Registrant, Continental Stock Transfer &amp; Trust</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Company and the initial stockholders of the Registrant (incorporated by reference to Exhibit 10.3 to the Current Report on</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6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59">
              <w:r>
                <w:rPr>
                  <w:rFonts w:ascii="Arial" w:cs="Arial" w:eastAsia="Arial" w:hAnsi="Arial"/>
                  <w:sz w:val="18"/>
                  <w:szCs w:val="18"/>
                  <w:color w:val="0000EE"/>
                  <w:w w:val="91"/>
                </w:rPr>
                <w:t>Form 8-K filed with the Securities and Exchange Commission on August 11, 2021)</w:t>
              </w:r>
            </w:hyperlink>
          </w:p>
        </w:tc>
        <w:tc>
          <w:tcPr>
            <w:tcW w:w="28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Registration Rights Agreement, dated August 5, 2021, by and between the Registrant and the initial stockholders of the</w:t>
              </w:r>
            </w:hyperlink>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6"/>
              </w:rPr>
            </w:pPr>
            <w:hyperlink r:id="rId60">
              <w:r>
                <w:rPr>
                  <w:rFonts w:ascii="Arial" w:cs="Arial" w:eastAsia="Arial" w:hAnsi="Arial"/>
                  <w:sz w:val="18"/>
                  <w:szCs w:val="18"/>
                  <w:color w:val="0000EE"/>
                  <w:w w:val="96"/>
                </w:rPr>
                <w:t>Registrant (incorporated by reference to Exhibit 10.4 to the Current Report on Form 8-K filed with the Securities and</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3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Exchange Commission on August 11, 2021)</w:t>
              </w:r>
            </w:hyperlink>
          </w:p>
        </w:tc>
        <w:tc>
          <w:tcPr>
            <w:tcW w:w="568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Subscription Agreement, dated August 5, 2021, by and among the Registrant and the initial stockholders of the Registrant</w:t>
              </w:r>
            </w:hyperlink>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party thereto (incorporated by reference to Exhibit 10.5 to the Current Report on Form 8-K filed with the Securities and</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3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Exchange Commission on August 11, 2021)</w:t>
              </w:r>
            </w:hyperlink>
          </w:p>
        </w:tc>
        <w:tc>
          <w:tcPr>
            <w:tcW w:w="568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Indemnity Agreements, dated August 5, 2021, by and between the Registrant and each of the Registrant’s directors and</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8"/>
              </w:rPr>
            </w:pPr>
            <w:hyperlink r:id="rId62">
              <w:r>
                <w:rPr>
                  <w:rFonts w:ascii="Arial" w:cs="Arial" w:eastAsia="Arial" w:hAnsi="Arial"/>
                  <w:sz w:val="18"/>
                  <w:szCs w:val="18"/>
                  <w:color w:val="0000EE"/>
                  <w:w w:val="98"/>
                </w:rPr>
                <w:t>officers (incorporated by reference to Exhibit 10.6 to the Current Report on Form 8-K filed with the Securities and</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31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62">
              <w:r>
                <w:rPr>
                  <w:rFonts w:ascii="Arial" w:cs="Arial" w:eastAsia="Arial" w:hAnsi="Arial"/>
                  <w:sz w:val="18"/>
                  <w:szCs w:val="18"/>
                  <w:color w:val="0000EE"/>
                  <w:w w:val="89"/>
                </w:rPr>
                <w:t>Exchange Commission on August 11, 2021)</w:t>
              </w:r>
            </w:hyperlink>
          </w:p>
        </w:tc>
        <w:tc>
          <w:tcPr>
            <w:tcW w:w="570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Business Combination Marketing Agreement, dated August 5, 2021, by and among the Registrant, Roth Capital Partners,</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LLC and Craig-Hallum Capital Group LLC (incorporated by reference to Exhibit 10.7 to the Current Report on Form 8-K</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52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filed with the Securities and Exchange Commission on August 11, 2021)</w:t>
              </w:r>
            </w:hyperlink>
          </w:p>
        </w:tc>
        <w:tc>
          <w:tcPr>
            <w:tcW w:w="36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Form of Lock-up Agreement (incorporated by reference to Exhibit 10.1 to the Current Report on Form 8-K filed with the</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43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Securities and Exchange Commission on December 6, 2022)</w:t>
              </w:r>
            </w:hyperlink>
          </w:p>
        </w:tc>
        <w:tc>
          <w:tcPr>
            <w:tcW w:w="450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65">
              <w:r>
                <w:rPr>
                  <w:rFonts w:ascii="Arial" w:cs="Arial" w:eastAsia="Arial" w:hAnsi="Arial"/>
                  <w:sz w:val="18"/>
                  <w:szCs w:val="18"/>
                  <w:color w:val="0000EE"/>
                  <w:w w:val="95"/>
                </w:rPr>
                <w:t>Sponsor Support Agreement, dated as of December 5, 2022 (incorporated by reference to Exhibit 10.2 to the Current</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69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Report on Form 8-K filed with the Securities and Exchange Commission on December 6, 2022)</w:t>
              </w:r>
            </w:hyperlink>
          </w:p>
        </w:tc>
        <w:tc>
          <w:tcPr>
            <w:tcW w:w="19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Form of Company Holders Support Agreement (incorporated by reference to Exhibit 10.3 to the Current Report on Form</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8880" w:type="dxa"/>
            <w:vAlign w:val="bottom"/>
            <w:gridSpan w:val="19"/>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8-K filed with the Securities and Exchange Commission on December 6, 2022)</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Form of A&amp;R Registration Rights Agreement (incorporated by reference to Exhibit 10.4 to the Current Report on Form 8-</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55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K filed with the Securities and Exchange Commission on December 6, 2022)</w:t>
              </w:r>
            </w:hyperlink>
          </w:p>
        </w:tc>
        <w:tc>
          <w:tcPr>
            <w:tcW w:w="33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Sale and Purchase Agreement, dated as of December 5, 2022 (incorporated by reference to Exhibit 10.5 to the Current</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69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Report on Form 8-K filed with the Securities and Exchange Commission on December 6, 2022)</w:t>
              </w:r>
            </w:hyperlink>
          </w:p>
        </w:tc>
        <w:tc>
          <w:tcPr>
            <w:tcW w:w="19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Note Agreement, dated as of December 5, 2022 (incorporated by reference to Exhibit 10.6 to the Current Report on Form</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8880" w:type="dxa"/>
            <w:vAlign w:val="bottom"/>
            <w:gridSpan w:val="19"/>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8-K filed with the Securities and Exchange Commission on December 6, 2022)</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70">
              <w:r>
                <w:rPr>
                  <w:rFonts w:ascii="Arial" w:cs="Arial" w:eastAsia="Arial" w:hAnsi="Arial"/>
                  <w:sz w:val="18"/>
                  <w:szCs w:val="18"/>
                  <w:color w:val="0000EE"/>
                  <w:w w:val="94"/>
                </w:rPr>
                <w:t>Form of Restrictive Covenant Agreement (incorporated by reference to Exhibit 10.7 to the Current Report on Form 8-K</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53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filed with the Securities and Exchange Commission on December 6, 2022)</w:t>
              </w:r>
            </w:hyperlink>
          </w:p>
        </w:tc>
        <w:tc>
          <w:tcPr>
            <w:tcW w:w="350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Letter Agreement, dated as of December 5, 2022 (incorporated by reference to Exhibit 10.8 to the Current Report on Form</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8880" w:type="dxa"/>
            <w:vAlign w:val="bottom"/>
            <w:gridSpan w:val="1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8-K filed with the Securities and Exchange Commission on December 6, 2022)</w:t>
              </w:r>
            </w:hyperlink>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72">
              <w:r>
                <w:rPr>
                  <w:rFonts w:ascii="Arial" w:cs="Arial" w:eastAsia="Arial" w:hAnsi="Arial"/>
                  <w:sz w:val="18"/>
                  <w:szCs w:val="18"/>
                  <w:color w:val="0000EE"/>
                  <w:w w:val="93"/>
                </w:rPr>
                <w:t>Form of Non-Redemption Agreement (incorporated by reference to Exhibit 10.1 to the Current Report on Form 8-K filed</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51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with the Securities and Exchange Commission on December 13, 2022)</w:t>
              </w:r>
            </w:hyperlink>
          </w:p>
        </w:tc>
        <w:tc>
          <w:tcPr>
            <w:tcW w:w="378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Promissory Note, dated February 14, 2023 (incorporated by reference to Exhibit 10.1 to the Current Report on Form 8-K</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53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filed with the Securities and Exchange Commission on February 17, 2023)</w:t>
              </w:r>
            </w:hyperlink>
          </w:p>
        </w:tc>
        <w:tc>
          <w:tcPr>
            <w:tcW w:w="350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Form of Code of Ethics (incorporated by reference to Exhibit 14.1 to the Registration Statement on Form S-1/A filed with</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42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the Securities and Exchange Commission on July 9, 2021)</w:t>
              </w:r>
            </w:hyperlink>
          </w:p>
        </w:tc>
        <w:tc>
          <w:tcPr>
            <w:tcW w:w="4680" w:type="dxa"/>
            <w:vAlign w:val="bottom"/>
            <w:gridSpan w:val="1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40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List of Subsidiaries</w:t>
            </w:r>
          </w:p>
        </w:tc>
        <w:tc>
          <w:tcPr>
            <w:tcW w:w="748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Certification of Principal Executive Officer pursuant to Rules 13a-14(a) and 15d-14(a) under the Securities Exchange Act</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57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of 1934, as adopted pursuant to Section 302 of the Sarbanes-Oxley Act of 2002.</w:t>
            </w:r>
          </w:p>
        </w:tc>
        <w:tc>
          <w:tcPr>
            <w:tcW w:w="3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3"/>
              </w:rPr>
              <w:t>Certification of Principal Financial Officer pursuant to Rules 13a-14(a) and 15d-14(a) under the Securities Exchange Act</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57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of 1934, as adopted pursuant to Section 302 of the Sarbanes-Oxley Act of 2002.</w:t>
            </w:r>
          </w:p>
        </w:tc>
        <w:tc>
          <w:tcPr>
            <w:tcW w:w="3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Certification of Principal Executive Officer and Principal Financial Officer pursuant to 18 U.S.C. Section 1350, as adopted</w:t>
            </w: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880" w:type="dxa"/>
            <w:vAlign w:val="bottom"/>
            <w:gridSpan w:val="19"/>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r>
      <w:tr>
        <w:trPr>
          <w:trHeight w:val="20"/>
        </w:trPr>
        <w:tc>
          <w:tcPr>
            <w:tcW w:w="1040" w:type="dxa"/>
            <w:vAlign w:val="bottom"/>
          </w:tcPr>
          <w:p>
            <w:pPr>
              <w:spacing w:after="0" w:line="20" w:lineRule="exact"/>
              <w:rPr>
                <w:sz w:val="1"/>
                <w:szCs w:val="1"/>
                <w:color w:val="auto"/>
              </w:rPr>
            </w:pPr>
          </w:p>
        </w:tc>
        <w:tc>
          <w:tcPr>
            <w:tcW w:w="430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Form of Audit Committee Charter (incorporated by reference to Exhibit 99.1 to the Registration Statement on Form S-1/A</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4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filed with the Securities and Exchange Commission on July 9, 2021)</w:t>
              </w:r>
            </w:hyperlink>
          </w:p>
        </w:tc>
        <w:tc>
          <w:tcPr>
            <w:tcW w:w="394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88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76">
              <w:r>
                <w:rPr>
                  <w:rFonts w:ascii="Arial" w:cs="Arial" w:eastAsia="Arial" w:hAnsi="Arial"/>
                  <w:sz w:val="18"/>
                  <w:szCs w:val="18"/>
                  <w:color w:val="0000EE"/>
                  <w:w w:val="95"/>
                </w:rPr>
                <w:t>Form of Corporate Governance and Nominating Committee Charter (incorporated by reference to Exhibit 99.2 to the</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8880" w:type="dxa"/>
            <w:vAlign w:val="bottom"/>
            <w:gridSpan w:val="19"/>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Registration Statement on Form S-1/A filed with the Securities and Exchange Commission on July 9, 2021)</w:t>
              </w:r>
            </w:hyperlink>
          </w:p>
        </w:tc>
      </w:tr>
      <w:tr>
        <w:trPr>
          <w:trHeight w:val="20"/>
        </w:trPr>
        <w:tc>
          <w:tcPr>
            <w:tcW w:w="1040" w:type="dxa"/>
            <w:vAlign w:val="bottom"/>
          </w:tcPr>
          <w:p>
            <w:pPr>
              <w:spacing w:after="0" w:line="20" w:lineRule="exact"/>
              <w:rPr>
                <w:sz w:val="1"/>
                <w:szCs w:val="1"/>
                <w:color w:val="auto"/>
              </w:rPr>
            </w:pPr>
          </w:p>
        </w:tc>
        <w:tc>
          <w:tcPr>
            <w:tcW w:w="5840" w:type="dxa"/>
            <w:vAlign w:val="bottom"/>
            <w:gridSpan w:val="14"/>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880" w:type="dxa"/>
            <w:vAlign w:val="bottom"/>
            <w:gridSpan w:val="19"/>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Form of Compensation Committee Charter (incorporated by reference to Exhibit 99.3 to the Registration Statement on</w:t>
              </w:r>
            </w:hyperlink>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99.3</w:t>
            </w:r>
          </w:p>
        </w:tc>
        <w:tc>
          <w:tcPr>
            <w:tcW w:w="8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Form S-1/A filed with the Securities and Exchange Commission on July 9, 2021)</w:t>
              </w:r>
            </w:hyperlink>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tags are embedded within the Inline XBRL docment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Labels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9" w:lineRule="exact"/>
        <w:rPr>
          <w:sz w:val="20"/>
          <w:szCs w:val="20"/>
          <w:color w:val="auto"/>
        </w:rPr>
      </w:pPr>
    </w:p>
    <w:p>
      <w:pPr>
        <w:sectPr>
          <w:pgSz w:w="11900" w:h="16838" w:orient="portrait"/>
          <w:cols w:equalWidth="0" w:num="2">
            <w:col w:w="780" w:space="260"/>
            <w:col w:w="8860"/>
          </w:cols>
          <w:pgMar w:left="980" w:top="517" w:right="1019" w:bottom="1440" w:gutter="0" w:footer="0" w:header="0"/>
          <w:type w:val="continuous"/>
        </w:sectPr>
      </w:pPr>
    </w:p>
    <w:p>
      <w:pPr>
        <w:ind w:right="1340" w:firstLine="8"/>
        <w:spacing w:after="0" w:line="492" w:lineRule="auto"/>
        <w:tabs>
          <w:tab w:leader="none" w:pos="10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15684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jc w:val="both"/>
        <w:ind w:left="340" w:hanging="332"/>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ROTH CH ACQUISITION IV CO.</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Dated: March 31, 2023</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Byron Roth</w:t>
            </w:r>
          </w:p>
        </w:tc>
      </w:tr>
      <w:tr>
        <w:trPr>
          <w:trHeight w:val="20"/>
        </w:trPr>
        <w:tc>
          <w:tcPr>
            <w:tcW w:w="3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r>
      <w:tr>
        <w:trPr>
          <w:trHeight w:val="195"/>
        </w:trPr>
        <w:tc>
          <w:tcPr>
            <w:tcW w:w="3320" w:type="dxa"/>
            <w:vAlign w:val="bottom"/>
          </w:tcPr>
          <w:p>
            <w:pPr>
              <w:spacing w:after="0"/>
              <w:rPr>
                <w:sz w:val="16"/>
                <w:szCs w:val="16"/>
                <w:color w:val="auto"/>
              </w:rPr>
            </w:pPr>
          </w:p>
        </w:tc>
        <w:tc>
          <w:tcPr>
            <w:tcW w:w="6600" w:type="dxa"/>
            <w:vAlign w:val="bottom"/>
            <w:gridSpan w:val="2"/>
          </w:tcPr>
          <w:p>
            <w:pPr>
              <w:ind w:left="1660"/>
              <w:spacing w:after="0" w:line="195" w:lineRule="exact"/>
              <w:rPr>
                <w:sz w:val="20"/>
                <w:szCs w:val="20"/>
                <w:color w:val="auto"/>
              </w:rPr>
            </w:pPr>
            <w:r>
              <w:rPr>
                <w:rFonts w:ascii="Arial" w:cs="Arial" w:eastAsia="Arial" w:hAnsi="Arial"/>
                <w:sz w:val="18"/>
                <w:szCs w:val="18"/>
                <w:color w:val="auto"/>
              </w:rPr>
              <w:t>Name:Byron Roth</w:t>
            </w:r>
          </w:p>
        </w:tc>
      </w:tr>
      <w:tr>
        <w:trPr>
          <w:trHeight w:val="230"/>
        </w:trPr>
        <w:tc>
          <w:tcPr>
            <w:tcW w:w="3320" w:type="dxa"/>
            <w:vAlign w:val="bottom"/>
          </w:tcPr>
          <w:p>
            <w:pPr>
              <w:spacing w:after="0"/>
              <w:rPr>
                <w:sz w:val="20"/>
                <w:szCs w:val="20"/>
                <w:color w:val="auto"/>
              </w:rPr>
            </w:pP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Title: Co-Chief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00" w:type="dxa"/>
            <w:vAlign w:val="bottom"/>
          </w:tcPr>
          <w:p>
            <w:pPr>
              <w:spacing w:after="0"/>
              <w:rPr>
                <w:sz w:val="20"/>
                <w:szCs w:val="20"/>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8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i w:val="1"/>
                <w:iCs w:val="1"/>
                <w:color w:val="auto"/>
              </w:rPr>
              <w:t>/s/ Byron Roth</w:t>
            </w:r>
          </w:p>
        </w:tc>
        <w:tc>
          <w:tcPr>
            <w:tcW w:w="200" w:type="dxa"/>
            <w:vAlign w:val="bottom"/>
          </w:tcPr>
          <w:p>
            <w:pPr>
              <w:spacing w:after="0"/>
              <w:rPr>
                <w:sz w:val="24"/>
                <w:szCs w:val="24"/>
                <w:color w:val="auto"/>
              </w:rPr>
            </w:pPr>
          </w:p>
        </w:tc>
        <w:tc>
          <w:tcPr>
            <w:tcW w:w="48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Co-Chief Executive Officer and Chairman of the Board</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54"/>
        </w:trPr>
        <w:tc>
          <w:tcPr>
            <w:tcW w:w="24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488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Byron Roth</w:t>
            </w:r>
          </w:p>
        </w:tc>
        <w:tc>
          <w:tcPr>
            <w:tcW w:w="200" w:type="dxa"/>
            <w:vAlign w:val="bottom"/>
            <w:vMerge w:val="continue"/>
          </w:tcPr>
          <w:p>
            <w:pPr>
              <w:spacing w:after="0"/>
              <w:rPr>
                <w:sz w:val="19"/>
                <w:szCs w:val="19"/>
                <w:color w:val="auto"/>
              </w:rPr>
            </w:pPr>
          </w:p>
        </w:tc>
        <w:tc>
          <w:tcPr>
            <w:tcW w:w="4880" w:type="dxa"/>
            <w:vAlign w:val="bottom"/>
            <w:gridSpan w:val="2"/>
            <w:vMerge w:val="continue"/>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i w:val="1"/>
                <w:iCs w:val="1"/>
                <w:color w:val="auto"/>
              </w:rPr>
              <w:t>/s/ Gordon Roth</w:t>
            </w:r>
          </w:p>
        </w:tc>
        <w:tc>
          <w:tcPr>
            <w:tcW w:w="200" w:type="dxa"/>
            <w:vAlign w:val="bottom"/>
          </w:tcPr>
          <w:p>
            <w:pPr>
              <w:spacing w:after="0"/>
              <w:rPr>
                <w:sz w:val="24"/>
                <w:szCs w:val="24"/>
                <w:color w:val="auto"/>
              </w:rPr>
            </w:pPr>
          </w:p>
        </w:tc>
        <w:tc>
          <w:tcPr>
            <w:tcW w:w="48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54"/>
        </w:trPr>
        <w:tc>
          <w:tcPr>
            <w:tcW w:w="2420" w:type="dxa"/>
            <w:vAlign w:val="bottom"/>
            <w:tcBorders>
              <w:bottom w:val="single" w:sz="8" w:color="auto"/>
            </w:tcBorders>
          </w:tcPr>
          <w:p>
            <w:pPr>
              <w:spacing w:after="0"/>
              <w:rPr>
                <w:sz w:val="4"/>
                <w:szCs w:val="4"/>
                <w:color w:val="auto"/>
              </w:rPr>
            </w:pPr>
          </w:p>
        </w:tc>
        <w:tc>
          <w:tcPr>
            <w:tcW w:w="200" w:type="dxa"/>
            <w:vAlign w:val="bottom"/>
            <w:vMerge w:val="restart"/>
          </w:tcPr>
          <w:p>
            <w:pPr>
              <w:spacing w:after="0"/>
              <w:rPr>
                <w:sz w:val="4"/>
                <w:szCs w:val="4"/>
                <w:color w:val="auto"/>
              </w:rPr>
            </w:pPr>
          </w:p>
        </w:tc>
        <w:tc>
          <w:tcPr>
            <w:tcW w:w="48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4"/>
              </w:rPr>
              <w:t>(Principal Financial Officer)</w:t>
            </w: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Gordon Roth</w:t>
            </w:r>
          </w:p>
        </w:tc>
        <w:tc>
          <w:tcPr>
            <w:tcW w:w="200" w:type="dxa"/>
            <w:vAlign w:val="bottom"/>
            <w:vMerge w:val="continue"/>
          </w:tcPr>
          <w:p>
            <w:pPr>
              <w:spacing w:after="0"/>
              <w:rPr>
                <w:sz w:val="19"/>
                <w:szCs w:val="19"/>
                <w:color w:val="auto"/>
              </w:rPr>
            </w:pPr>
          </w:p>
        </w:tc>
        <w:tc>
          <w:tcPr>
            <w:tcW w:w="4880" w:type="dxa"/>
            <w:vAlign w:val="bottom"/>
            <w:gridSpan w:val="2"/>
            <w:vMerge w:val="continue"/>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John Lipman</w:t>
            </w:r>
          </w:p>
        </w:tc>
        <w:tc>
          <w:tcPr>
            <w:tcW w:w="200" w:type="dxa"/>
            <w:vAlign w:val="bottom"/>
          </w:tcPr>
          <w:p>
            <w:pPr>
              <w:spacing w:after="0"/>
              <w:rPr>
                <w:sz w:val="24"/>
                <w:szCs w:val="24"/>
                <w:color w:val="auto"/>
              </w:rPr>
            </w:pPr>
          </w:p>
        </w:tc>
        <w:tc>
          <w:tcPr>
            <w:tcW w:w="4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Co-Chief Executive Officer and 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John Lipman</w:t>
            </w:r>
          </w:p>
        </w:tc>
        <w:tc>
          <w:tcPr>
            <w:tcW w:w="2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Molly Montgomery</w:t>
            </w:r>
          </w:p>
        </w:tc>
        <w:tc>
          <w:tcPr>
            <w:tcW w:w="200" w:type="dxa"/>
            <w:vAlign w:val="bottom"/>
          </w:tcPr>
          <w:p>
            <w:pPr>
              <w:spacing w:after="0"/>
              <w:rPr>
                <w:sz w:val="24"/>
                <w:szCs w:val="24"/>
                <w:color w:val="auto"/>
              </w:rPr>
            </w:pPr>
          </w:p>
        </w:tc>
        <w:tc>
          <w:tcPr>
            <w:tcW w:w="4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Molly Montgomery</w:t>
            </w:r>
          </w:p>
        </w:tc>
        <w:tc>
          <w:tcPr>
            <w:tcW w:w="2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Daniel M. Friedberg</w:t>
            </w:r>
          </w:p>
        </w:tc>
        <w:tc>
          <w:tcPr>
            <w:tcW w:w="200" w:type="dxa"/>
            <w:vAlign w:val="bottom"/>
          </w:tcPr>
          <w:p>
            <w:pPr>
              <w:spacing w:after="0"/>
              <w:rPr>
                <w:sz w:val="24"/>
                <w:szCs w:val="24"/>
                <w:color w:val="auto"/>
              </w:rPr>
            </w:pPr>
          </w:p>
        </w:tc>
        <w:tc>
          <w:tcPr>
            <w:tcW w:w="4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Daniel M. Friedberg</w:t>
            </w:r>
          </w:p>
        </w:tc>
        <w:tc>
          <w:tcPr>
            <w:tcW w:w="2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Adam Rothstein</w:t>
            </w:r>
          </w:p>
        </w:tc>
        <w:tc>
          <w:tcPr>
            <w:tcW w:w="200" w:type="dxa"/>
            <w:vAlign w:val="bottom"/>
          </w:tcPr>
          <w:p>
            <w:pPr>
              <w:spacing w:after="0"/>
              <w:rPr>
                <w:sz w:val="24"/>
                <w:szCs w:val="24"/>
                <w:color w:val="auto"/>
              </w:rPr>
            </w:pPr>
          </w:p>
        </w:tc>
        <w:tc>
          <w:tcPr>
            <w:tcW w:w="4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20"/>
                <w:szCs w:val="20"/>
                <w:color w:val="auto"/>
              </w:rPr>
            </w:pPr>
            <w:r>
              <w:rPr>
                <w:rFonts w:ascii="Arial" w:cs="Arial" w:eastAsia="Arial" w:hAnsi="Arial"/>
                <w:sz w:val="18"/>
                <w:szCs w:val="18"/>
                <w:color w:val="auto"/>
              </w:rPr>
              <w:t>Adam Rothstein</w:t>
            </w:r>
          </w:p>
        </w:tc>
        <w:tc>
          <w:tcPr>
            <w:tcW w:w="2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420" w:type="dxa"/>
            <w:vAlign w:val="bottom"/>
          </w:tcPr>
          <w:p>
            <w:pPr>
              <w:spacing w:after="0"/>
              <w:rPr>
                <w:sz w:val="20"/>
                <w:szCs w:val="20"/>
                <w:color w:val="auto"/>
              </w:rPr>
            </w:pPr>
            <w:r>
              <w:rPr>
                <w:rFonts w:ascii="Arial" w:cs="Arial" w:eastAsia="Arial" w:hAnsi="Arial"/>
                <w:sz w:val="18"/>
                <w:szCs w:val="18"/>
                <w:i w:val="1"/>
                <w:iCs w:val="1"/>
                <w:color w:val="auto"/>
              </w:rPr>
              <w:t>/s/ Sam Chawla</w:t>
            </w:r>
          </w:p>
        </w:tc>
        <w:tc>
          <w:tcPr>
            <w:tcW w:w="200" w:type="dxa"/>
            <w:vAlign w:val="bottom"/>
          </w:tcPr>
          <w:p>
            <w:pPr>
              <w:spacing w:after="0"/>
              <w:rPr>
                <w:sz w:val="24"/>
                <w:szCs w:val="24"/>
                <w:color w:val="auto"/>
              </w:rPr>
            </w:pPr>
          </w:p>
        </w:tc>
        <w:tc>
          <w:tcPr>
            <w:tcW w:w="48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2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 Chawla</w:t>
            </w:r>
          </w:p>
        </w:tc>
        <w:tc>
          <w:tcPr>
            <w:tcW w:w="200" w:type="dxa"/>
            <w:vAlign w:val="bottom"/>
            <w:tcBorders>
              <w:bottom w:val="single" w:sz="8" w:color="auto"/>
            </w:tcBorders>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71"/>
        </w:trPr>
        <w:tc>
          <w:tcPr>
            <w:tcW w:w="2420" w:type="dxa"/>
            <w:vAlign w:val="bottom"/>
          </w:tcPr>
          <w:p>
            <w:pPr>
              <w:spacing w:after="0"/>
              <w:rPr>
                <w:sz w:val="24"/>
                <w:szCs w:val="24"/>
                <w:color w:val="auto"/>
              </w:rPr>
            </w:pPr>
          </w:p>
        </w:tc>
        <w:tc>
          <w:tcPr>
            <w:tcW w:w="49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35</w:t>
            </w: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1640" w:type="dxa"/>
            <w:vAlign w:val="bottom"/>
          </w:tcPr>
          <w:p>
            <w:pPr>
              <w:spacing w:after="0"/>
              <w:rPr>
                <w:sz w:val="17"/>
                <w:szCs w:val="17"/>
                <w:color w:val="auto"/>
              </w:rPr>
            </w:pPr>
          </w:p>
        </w:tc>
      </w:tr>
      <w:tr>
        <w:trPr>
          <w:trHeight w:val="777"/>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6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ROTH CH ACQUISITION IV CO.</w:t>
            </w:r>
          </w:p>
        </w:tc>
        <w:tc>
          <w:tcPr>
            <w:tcW w:w="164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2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rPr>
              <w:t>INDEX TO CONSOLIDATED FINANCIAL STATEMENTS</w:t>
            </w:r>
          </w:p>
        </w:tc>
        <w:tc>
          <w:tcPr>
            <w:tcW w:w="1640" w:type="dxa"/>
            <w:vAlign w:val="bottom"/>
          </w:tcPr>
          <w:p>
            <w:pPr>
              <w:spacing w:after="0"/>
              <w:rPr>
                <w:sz w:val="24"/>
                <w:szCs w:val="24"/>
                <w:color w:val="auto"/>
              </w:rPr>
            </w:pPr>
          </w:p>
        </w:tc>
      </w:tr>
      <w:tr>
        <w:trPr>
          <w:trHeight w:val="405"/>
        </w:trPr>
        <w:tc>
          <w:tcPr>
            <w:tcW w:w="8140" w:type="dxa"/>
            <w:vAlign w:val="bottom"/>
            <w:gridSpan w:val="9"/>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Number 688)</w:t>
            </w:r>
          </w:p>
        </w:tc>
        <w:tc>
          <w:tcPr>
            <w:tcW w:w="1640" w:type="dxa"/>
            <w:vAlign w:val="bottom"/>
          </w:tcPr>
          <w:p>
            <w:pPr>
              <w:jc w:val="center"/>
              <w:ind w:left="750"/>
              <w:spacing w:after="0"/>
              <w:rPr>
                <w:sz w:val="20"/>
                <w:szCs w:val="20"/>
                <w:color w:val="auto"/>
              </w:rPr>
            </w:pPr>
            <w:r>
              <w:rPr>
                <w:rFonts w:ascii="Arial" w:cs="Arial" w:eastAsia="Arial" w:hAnsi="Arial"/>
                <w:sz w:val="18"/>
                <w:szCs w:val="18"/>
                <w:color w:val="auto"/>
                <w:w w:val="88"/>
              </w:rPr>
              <w:t>F-2</w:t>
            </w: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3920" w:type="dxa"/>
            <w:vAlign w:val="bottom"/>
            <w:gridSpan w:val="2"/>
          </w:tcPr>
          <w:p>
            <w:pPr>
              <w:spacing w:after="0"/>
              <w:rPr>
                <w:sz w:val="19"/>
                <w:szCs w:val="19"/>
                <w:color w:val="auto"/>
              </w:rPr>
            </w:pPr>
          </w:p>
        </w:tc>
        <w:tc>
          <w:tcPr>
            <w:tcW w:w="1640" w:type="dxa"/>
            <w:vAlign w:val="bottom"/>
          </w:tcPr>
          <w:p>
            <w:pPr>
              <w:spacing w:after="0"/>
              <w:rPr>
                <w:sz w:val="19"/>
                <w:szCs w:val="19"/>
                <w:color w:val="auto"/>
              </w:rPr>
            </w:pPr>
          </w:p>
        </w:tc>
      </w:tr>
      <w:tr>
        <w:trPr>
          <w:trHeight w:val="190"/>
        </w:trPr>
        <w:tc>
          <w:tcPr>
            <w:tcW w:w="340" w:type="dxa"/>
            <w:vAlign w:val="bottom"/>
          </w:tcPr>
          <w:p>
            <w:pPr>
              <w:spacing w:after="0"/>
              <w:rPr>
                <w:sz w:val="16"/>
                <w:szCs w:val="16"/>
                <w:color w:val="auto"/>
              </w:rPr>
            </w:pPr>
          </w:p>
        </w:tc>
        <w:tc>
          <w:tcPr>
            <w:tcW w:w="7800" w:type="dxa"/>
            <w:vAlign w:val="bottom"/>
            <w:gridSpan w:val="8"/>
          </w:tcPr>
          <w:p>
            <w:pPr>
              <w:spacing w:after="0" w:line="190" w:lineRule="exact"/>
              <w:rPr>
                <w:sz w:val="20"/>
                <w:szCs w:val="20"/>
                <w:color w:val="auto"/>
              </w:rPr>
            </w:pPr>
            <w:r>
              <w:rPr>
                <w:rFonts w:ascii="Arial" w:cs="Arial" w:eastAsia="Arial" w:hAnsi="Arial"/>
                <w:sz w:val="18"/>
                <w:szCs w:val="18"/>
                <w:color w:val="0000EE"/>
              </w:rPr>
              <w:t>Consolidated Balance Sheets</w:t>
            </w:r>
          </w:p>
        </w:tc>
        <w:tc>
          <w:tcPr>
            <w:tcW w:w="1640" w:type="dxa"/>
            <w:vAlign w:val="bottom"/>
          </w:tcPr>
          <w:p>
            <w:pPr>
              <w:jc w:val="center"/>
              <w:ind w:left="750"/>
              <w:spacing w:after="0" w:line="190" w:lineRule="exact"/>
              <w:rPr>
                <w:sz w:val="20"/>
                <w:szCs w:val="20"/>
                <w:color w:val="auto"/>
              </w:rPr>
            </w:pPr>
            <w:r>
              <w:rPr>
                <w:rFonts w:ascii="Arial" w:cs="Arial" w:eastAsia="Arial" w:hAnsi="Arial"/>
                <w:sz w:val="18"/>
                <w:szCs w:val="18"/>
                <w:color w:val="auto"/>
                <w:w w:val="88"/>
              </w:rPr>
              <w:t>F-3</w:t>
            </w:r>
          </w:p>
        </w:tc>
      </w:tr>
      <w:tr>
        <w:trPr>
          <w:trHeight w:val="20"/>
        </w:trPr>
        <w:tc>
          <w:tcPr>
            <w:tcW w:w="3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1640" w:type="dxa"/>
            <w:vAlign w:val="bottom"/>
          </w:tcPr>
          <w:p>
            <w:pPr>
              <w:jc w:val="center"/>
              <w:ind w:left="75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3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0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Consolidated Statements of Changes in Stockholders’ (Deficit) Equity</w:t>
            </w:r>
          </w:p>
        </w:tc>
        <w:tc>
          <w:tcPr>
            <w:tcW w:w="2740" w:type="dxa"/>
            <w:vAlign w:val="bottom"/>
          </w:tcPr>
          <w:p>
            <w:pPr>
              <w:spacing w:after="0"/>
              <w:rPr>
                <w:sz w:val="17"/>
                <w:szCs w:val="17"/>
                <w:color w:val="auto"/>
              </w:rPr>
            </w:pPr>
          </w:p>
        </w:tc>
        <w:tc>
          <w:tcPr>
            <w:tcW w:w="1640" w:type="dxa"/>
            <w:vAlign w:val="bottom"/>
          </w:tcPr>
          <w:p>
            <w:pPr>
              <w:jc w:val="center"/>
              <w:ind w:left="75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340" w:type="dxa"/>
            <w:vAlign w:val="bottom"/>
          </w:tcPr>
          <w:p>
            <w:pPr>
              <w:spacing w:after="0"/>
              <w:rPr>
                <w:sz w:val="17"/>
                <w:szCs w:val="17"/>
                <w:color w:val="auto"/>
              </w:rPr>
            </w:pPr>
          </w:p>
        </w:tc>
        <w:tc>
          <w:tcPr>
            <w:tcW w:w="7800" w:type="dxa"/>
            <w:vAlign w:val="bottom"/>
            <w:gridSpan w:val="8"/>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1640" w:type="dxa"/>
            <w:vAlign w:val="bottom"/>
          </w:tcPr>
          <w:p>
            <w:pPr>
              <w:jc w:val="center"/>
              <w:ind w:left="750"/>
              <w:spacing w:after="0" w:line="196" w:lineRule="exact"/>
              <w:rPr>
                <w:sz w:val="20"/>
                <w:szCs w:val="20"/>
                <w:color w:val="auto"/>
              </w:rPr>
            </w:pPr>
            <w:r>
              <w:rPr>
                <w:rFonts w:ascii="Arial" w:cs="Arial" w:eastAsia="Arial" w:hAnsi="Arial"/>
                <w:sz w:val="18"/>
                <w:szCs w:val="18"/>
                <w:color w:val="auto"/>
                <w:w w:val="88"/>
              </w:rPr>
              <w:t>F-6</w:t>
            </w:r>
          </w:p>
        </w:tc>
      </w:tr>
      <w:tr>
        <w:trPr>
          <w:trHeight w:val="20"/>
        </w:trPr>
        <w:tc>
          <w:tcPr>
            <w:tcW w:w="3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800" w:type="dxa"/>
            <w:vAlign w:val="bottom"/>
            <w:gridSpan w:val="8"/>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1640" w:type="dxa"/>
            <w:vAlign w:val="bottom"/>
          </w:tcPr>
          <w:p>
            <w:pPr>
              <w:jc w:val="center"/>
              <w:ind w:left="730"/>
              <w:spacing w:after="0" w:line="196" w:lineRule="exact"/>
              <w:rPr>
                <w:sz w:val="20"/>
                <w:szCs w:val="20"/>
                <w:color w:val="auto"/>
              </w:rPr>
            </w:pPr>
            <w:r>
              <w:rPr>
                <w:rFonts w:ascii="Arial" w:cs="Arial" w:eastAsia="Arial" w:hAnsi="Arial"/>
                <w:sz w:val="18"/>
                <w:szCs w:val="18"/>
                <w:color w:val="auto"/>
                <w:w w:val="92"/>
              </w:rPr>
              <w:t>F-7 to F-21</w:t>
            </w:r>
          </w:p>
        </w:tc>
      </w:tr>
      <w:tr>
        <w:trPr>
          <w:trHeight w:val="20"/>
        </w:trPr>
        <w:tc>
          <w:tcPr>
            <w:tcW w:w="3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80"/>
          </w:cols>
          <w:pgMar w:left="980" w:top="500" w:right="11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Roth CH Acquisition IV 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Roth CH Acquisition IV Co. (the “Company”) as of December 31, 2022 and 2021, the related consolidated statements of operations, changes in stockholders’ (deficit)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more fully described in Note 1 to the financial statements, the Company’s business plan is dependent on the completion of business combination and the Company has a liquidation date of July 10, 2023, which is considered to be within one year of the issuance date of the financial statements.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88,107</w:t>
            </w:r>
          </w:p>
        </w:tc>
        <w:tc>
          <w:tcPr>
            <w:tcW w:w="200" w:type="dxa"/>
            <w:vAlign w:val="bottom"/>
          </w:tcPr>
          <w:p>
            <w:pPr>
              <w:spacing w:after="0"/>
              <w:rPr>
                <w:sz w:val="18"/>
                <w:szCs w:val="18"/>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from certain Initial Stockholders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135,440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 long-term</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24,678,170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116,738,316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25,051,786</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117,832,388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666,832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1,061,851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244,793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subject to possible redemption; $0.0001 par value; 2,378,249 and 11,500,000</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shares at $10.23 and $10.15 redemption value at December 31, 2022 and 2021, respectively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24,322,162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116,725,000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 Equity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w w:val="95"/>
              </w:rPr>
              <w:t>Common stock, $0.0001 par value; 50,000,000 shares authorized; 3,336,500 shares issued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and outstanding as of December 31, 2022 and 2021, respectively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(583,950)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(405,732)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(332,227)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862,595</w:t>
            </w: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25,051,786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117,832,388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6"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For the Year Ended</w:t>
      </w:r>
    </w:p>
    <w:p>
      <w:pPr>
        <w:ind w:left="8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1,429,105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(1,429,105)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(415,858)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1,645,906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Total other income, net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1,645,906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216,801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(178,218)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 redeemable common stock</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11,425,027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4,505,479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redeemable common stock</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(0.01)</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3,336,500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2,827,725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(0.01)</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14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1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84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2"/>
                <w:szCs w:val="12"/>
                <w:color w:val="auto"/>
              </w:rPr>
            </w:pPr>
          </w:p>
        </w:tc>
        <w:tc>
          <w:tcPr>
            <w:tcW w:w="10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(Deficit) 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2,875,000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24,712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(3,190)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21,810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w w:val="98"/>
              </w:rPr>
              <w:t>Remeasurement of common stock subject to redemption amount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(7,799,173)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(7,799,173)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Sale of 461,500 Private Units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4,614,954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Proceeds allocated to Public Warrants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(402,542)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3,336,500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1,267,993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(405,732)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862,595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w w:val="98"/>
              </w:rPr>
              <w:t>Remeasurement of common stock subject to redemption amount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(1,152,044)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(1,152,044)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Contribution from Sponsor</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(178,218)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3,336,500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251,389</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(583,950)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(332,227)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For the Year Ended</w:t>
      </w:r>
    </w:p>
    <w:p>
      <w:pPr>
        <w:ind w:left="81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(178,218)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(1,645,906)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422,039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(865,669)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(463,981)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withdrawn from Trust Account to pay franchise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Cash withdrawn from Trust Account in connection with redemption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93,419,442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of cash in Trust Account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(116,725,000)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93,706,052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(116,725,000)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sale of Units, net of underwriting discounts paid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113,850,000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Proceeds from sale of Private Units</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promissory note - related party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Repayment of promissory note - related party</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offering costs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00"/>
              <w:spacing w:after="0"/>
              <w:rPr>
                <w:sz w:val="20"/>
                <w:szCs w:val="20"/>
                <w:color w:val="auto"/>
              </w:rPr>
            </w:pPr>
            <w:r>
              <w:rPr>
                <w:rFonts w:ascii="Arial" w:cs="Arial" w:eastAsia="Arial" w:hAnsi="Arial"/>
                <w:sz w:val="18"/>
                <w:szCs w:val="18"/>
                <w:color w:val="auto"/>
              </w:rPr>
              <w:t>Extension payment</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(135,440)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Redemption of common stock</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(93,419,442)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(93,554,882)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117,968,796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(714,499)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779,815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802,606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 End of period</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88,107</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802,606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Initial classification of common stock subject to possible redemption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116,725,000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Remeasurement for common stock to redemption amount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1,152,044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BUSINESS OPERATIONS AND LIQUIDITY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Roth CH Acquisition IV Co. (the “Company”) was incorporated in Delaware on February 13, 2019. The Company is a blank check company formed for the purpose of entering into a merger, share exchange, asset acquisition, stock purchase, recapitalization, reorganization or other similar business combination with one or more businesses or entities (the “Business Combination”).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an early stage and emerging growth company and, as such, the Company is subject to all of the risks associated with early stage and emerging growth companies.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the Company had not commenced any operations. All the Company’s activities through December 31, 2022 related to its formation and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on marketable securities held in the Trust Account (as defined below).</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registration statement for the Company’s Initial Public Offering was declared effective on August 5, 2021. On August 10, 2021, the Company consummated the Initial Public Offering of 11,500,000 units (the “Units” and, with respect to the shares of common stock included in the Units sold, the “Public Shares”), which included the full exercise by the underwriters of their over-allotment option in the amount of 1,500,000 Units, at $10.00 per Unit, generating gross proceeds of $115,000,000, which is described in Note 4.</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461,500 units (the “Private Units”) at a price of $10.00 per Private Unit in a private placement to certain of the Company’s initial stockholders, generating gross proceeds of $4,615,000, which is described in Note 5.</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Transaction costs amounted to $1,646,673, consisting of $1,150,000 of underwriting fees, and $496,673 of other offering costs.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closing of the Initial Public Offering on August 10, 2021, an amount of $116,725,000 ($10.15 per Unit) from the net proceeds of the sale of the Units in the Initial Public Offering and the sale of the Private Units was placed in a trust account (the “Trust Account”), located in the United States and held in cash items or invested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and (ii) the distribution of the Trust Account, as described below.</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Units, although substantially all of the net proceeds are intended to be applied generally toward consummating a Business Combination. There is no assurance that the Company will be able to complete a Business Combination successfully. The Company must complete a Business Combination having an aggregate fair market value of at least 80% of the assets held in the Trust Account (excluding taxes payable on income earned on the Trust Account) at the time of the agreement to enter into an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$10.15 per Public Share, plus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either immediately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containing substantially the same information as would be included in a proxy statement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holders of the Company’s shares prior to the Initial Public Offering (the “Initial Stockholders”) have agreed (a) to vote their Founder Shares (as defined in Note 6), Private Shares (as defined in Note 5) and any Public Shares purchased during or after the Initial Public Offering in favor of approving a Business Combination, to the extent permitted by law, and (b) not to redeem any shares in connection with a stockholder vote to approve a Business Combination or sell any shares to the Company in a tender offer in connection with a Business Combination. Additionally, each public stockholder may elect to redeem their Public Shares, irrespective of how or whether they vote on the proposed transaction.</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(a) to waive their redemption rights with respect to their Founder Shares, Private Shares and Public Shares held by them in connection with the completion of a Business Combination and (b) not to propose an amendment to the Amended and Restated Certificate of Incorporation that would affect a public stockholders’ ability to convert or sell their shares to the Company in connection with a Business Combination or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have until July 10, 2023 to complete a Business Combination (the “Combination Period”). If the Company is unable to complete a Business Combination within the Combination Period, the Company shall (i) cease all operations except for the purposes of winding up, (ii) as promptly as reasonably possible but not more than ten business days thereafter redeem 100% of the Public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Company’s then stockholders and subject to the requirements of the DGCL, including the adoption of a resolution by the Board of Directors pursuant to Section 275(a) of the DGCL finding the dissolution of the Company advisable and the provision of such notices as are required by said Section 275(a) of the DGCL, dissolve and liquidate the balance of the Company’s net assets to its remaining stockholders, as part of the Company’s plan of dissolution and liquidation, subject (in the case of</w:t>
      </w:r>
    </w:p>
    <w:p>
      <w:pPr>
        <w:spacing w:after="0" w:line="6" w:lineRule="exact"/>
        <w:rPr>
          <w:sz w:val="20"/>
          <w:szCs w:val="20"/>
          <w:color w:val="auto"/>
        </w:rPr>
      </w:pPr>
    </w:p>
    <w:p>
      <w:pPr>
        <w:jc w:val="both"/>
        <w:ind w:firstLine="8"/>
        <w:spacing w:after="0" w:line="253"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and (iii) above) to the Company’s obligations under the DGCL to provide for claims of creditors and other requirements of applicable law. In such event, the per share redemption price shall be equal to a pro rata share of the Trust Account plus any pro rata interest earned on the funds held in the Trust Account and not previously released to the Company for its working capital requirements or necessary to pay its taxes divided by the total number of Public Shares then outstanding.</w:t>
      </w:r>
    </w:p>
    <w:p>
      <w:pPr>
        <w:spacing w:after="0" w:line="19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Initial Stockholders have agreed to waive their liquidation rights with respect to the Founder Shares and Private Shares if the Company fails to complete a Business Combination within the Combination Period. However, if the Initial Stockholders acquire Public Shares in or after the Initial Public Offering, such Public Shares will be entitled to liquidating distributions from the Trust Account if the Company fails to complete a Business Combination within the Combination Period. In the event of such distribution, it is possible that the per share value of the assets remaining available for distribution will be less than the Initial Public Offering price per Unit.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protect the amounts held in the Trust Account, certain of the Initial Stockholders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67" w:lineRule="auto"/>
        <w:tabs>
          <w:tab w:leader="none" w:pos="2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$10.15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valid and enforceable agreement with the Company waiving any right, title, interest or claim of any kind they may have in or to any monies held in the Trust Account and except as to any claims under the Company’s indemnity of the underwriters of Initial Public Offering against certain liabilities, including liabilities under the Securities Act of 1933, as amended (the “Securities Act”). Moreover, in the event that an executed waiver is deemed to be unenforceable against a third party, the Initial Stockholders will not be responsible to the extent of any liability for such third-party claims. The Company will seek to reduce the possibility that the Initial Stockholders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December 5, 2022, the Company, entered into an Agreement and Plan of Merger (as it may be amended, supplemented or otherwise modified from time to time, the “Merger Agreement”), by and among the Company, Roth IV Merger Sub Inc., a Delaware corporation and a wholly-owned subsidiary of the Company (“Merger Sub”), and Tigo Energy, Inc., a Delaware corporation (the “Tigo Energy”). The transactions set forth in the Merger Agreement, including the Merger (defined below), will constitute a “Business Combination” as contemplated by the Company’s Amended and Restated Certificate of Incorporation.</w:t>
      </w:r>
    </w:p>
    <w:p>
      <w:pPr>
        <w:spacing w:after="0" w:line="176"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Subject to the terms and conditions set forth in the Merger Agreement, Merger Sub will merge with and into Tigo Energy, with Tigo Energy surviving as a wholly-owned subsidiary of the Company (the “Merger”). Upon the closing and the other transactions contemplated by the Merger Agreement, the Company will change its name to “Tigo Energy,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terms and conditions set forth in the Merger Agreement, in consideration of the Merger, the base purchase price of $600,000,000 will be payable through converting each outstanding share of Tigo Energy’s common stock (after giving effect to the consummation of Tigo Energy’s warrant exercise and Tigo Energy’s preferred conversion) into the right to receive 60,000,000 shares of the Company’s Common Stock at a deemed price of ten dollars ($10.00) per share, equal to (a) the exchange ratio, multiplied by (b) the number of shares of Tigo Energy’s common stock held by such holder as of immediately prior to the effective time of the Merger, with fractional shares rounded down to the nearest whole share. In addition, at the closing, each outstanding Tigo Energy’s option will be assumed and converted into an option with respect to a number of shares of the Company’s Common Stock in the manner set forth in the Merger Agreement, and each outstanding Tigo Energy’s warrant (after giving effect to Tigo Energy’s warrant exercise) to purchase Tigo Energy’s common stock will be assumed and converted into a warrant with respect to a number of shares of the Company’s Common Stock in the manner set forth in the Merger Agreement.</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base purchase price is subject to a dollar-for-dollar upward or downward adjustment in the event Tigo Energy raises or obtains a commitment to raise capital prior to the closing, including capital raised through the conversion of debt securities (but specifically excluding capital raised through convertible notes or similar debt instruments convertible into or exercisable for capital stock or other equity securities of Tigo Energy to the extent such notes or similar debt instruments have not so converted). If Tigo Energy raises or obtains a commitment to raise capital based on a pre-money valuation at or exceeding $500,000,000, the base purchase price will increase by the aggregate amount of capital raised or committed to be raised by Tigo Energy through such capital raising transaction. Conversely, if the pre-money valuation is below $500,000,000, the base purchase price will decrease by an amount equal to the difference between $500,000,000 and the actual pre-money valuation.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Extension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20, 2022, the Company held a special meeting of stockholders, at which the Company’s stockholders approved an amendment (the “Extension Amendment”) to the Company’s amended and restated certificate of incorporation, to extend the date by which the Company has to consummate a business combination up to five (5) times, each such extension for an additional one (1) month period, from February 10, 2023 to July 10, 2023. In connection with the Extension Amendment, stockholders holding 9,121,751 shares of redeemable common stock exercised their right to redeem such shares for a pro rata portion of the funds in the Trust Account at a pro rata redemption price of approximately $10.24 per share, and a total of $93,419,442 was released from the Trust Account.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2022, the Company had $88,107 in its operating bank account and adjusted working capital deficit of $290,839 which excludes franchise and income taxes payable as such amounts can be paid from the interest earned in the Trust Account.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performing due diligence on prospective target businesses, paying for travel expenditures, and structuring, negotiating, and consummating the Business Combination.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a significant working capital deficiency and has incurred and expects to continue to incur significant costs in pursuit of its acquisition plans. The Company will need to raise additional capital through loans or additional investments from the Initial Stockholders and the Company’s officers and directors or their affiliates. The Initial Stockholders and the Company’s officers and directors or their affiliates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If the Company is unable to complete the Business Combination because it does not have sufficient funds available, the Company will be forced to cease operations and liquidate the Trust Account.</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Company’s assessment of going concern considerations in accordance with the Financial Accounting Standards Board’s (“FASB’s”) Accounting Standards Update (“ASU”) 2014-15, “Disclosures of Uncertainties about an Entity’s Ability to Continue as a Going Concern,” the Company has until July 10, 2023 to consummate a Business Combination. It is uncertain that the Company will be able to consummate a Business Combination by this time. If a Business Combination is not consummated by this date and an extension has not been effected by the Company and approved by the Company’s stockholders, there will be a mandatory liquidation and subsequent dissolution of the Company. Management has determined that the liquidity condition and the date for mandatory liquidation and subsequent dissolution raises substantial doubt about the Company’s ability to continue as a going concern. No adjustments have been made to the carrying amounts of assets or liabilities should the Company be required to liquidate after July 10, 2023. The Company intends to complete a Business Combination before the mandatory liquidation date. The Company is within 12 months of its mandatory liquidation date as of the time of filing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continues to evaluate the impact of the COVID-19 pandemic and has concluded that while it is reasonably possible that COVID-19 could have a negative effect on the Company’s financial position, results of operations and/or its search for a target company for a Business Combination, the specific impact is not readily determinable as of the date of these consolidated financial statements. The consolidated financial statements do not include any adjustments that might result from the outcome of this uncertainty.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Reduction Act of 2022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53" w:lineRule="auto"/>
        <w:tabs>
          <w:tab w:leader="none" w:pos="3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Section 102(b)(l)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2022, all of the assets held in the Trust Account were held in cash. At December 31, 2021, substantially all of the assets held in the Trust Account were held in money market funds which are invested primarily in U.S. Treasury securities.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statements of operations. The estimated fair values of investments held in the Trust Account are determined using available market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Offering costs consist of underwriting, legal, accounting and other expenses incurred through the balance sheet date that are directly related to the Initial Public Offering. Offering costs are allocated to the separable financial instruments issued in the Initial Public Offering based on a relative fair value basis, compared to total proceeds received. Offering costs amounted to $1,646,673, which were initially charged to temporary equity and then accreted to common stock subject to redemption upon the completion of the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redemption in accordance with the guidance in Accounting Standards Codification (“ASC”), Topic 480 “Distinguishing Liabilities from Equity.” Shares of common stock subject to mandatory redemption is classified as a liability instrument and is measured at fair value. Conditionally redeemable common stock (including common stock that features redemption right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stockholders vote at the Special Meeting of Stockholders held by the Company on December 20, 2022, 9,121,751 shares of common stock were tendered for redemption.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at December 31, 2022 and 2021, 2,378,249 and 11,500,000 shares of common stock subject to possible redemption are presented at $10.23 and $10.15 redemption value, respectively, as temporary equity, outside of the stockholders’ (deficit) equity section of the Company’s balance sheets.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Immediately upon the closing of the Initial Public Offering, the Company recognized the accretion from initial book value to redemption amount value. The change in the carrying value of redeemable common stock resulted in a charge against additional paid-in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and 2021, the common stock subject to possible redemption reflected in the balance sheets was reconciled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 issuance costs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Proceeds allocated to Public Warrants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Remeasurement of carrying value to redemption value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7,799,173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Common stock subject to possible redemption, December 31, 2021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1"/>
              </w:rPr>
              <w:t>116,725,000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Redemption of 9,121,751 shares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(93,419,442)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80"/>
              <w:spacing w:after="0"/>
              <w:rPr>
                <w:sz w:val="20"/>
                <w:szCs w:val="20"/>
                <w:color w:val="auto"/>
              </w:rPr>
            </w:pPr>
            <w:r>
              <w:rPr>
                <w:rFonts w:ascii="Arial" w:cs="Arial" w:eastAsia="Arial" w:hAnsi="Arial"/>
                <w:sz w:val="18"/>
                <w:szCs w:val="18"/>
                <w:color w:val="auto"/>
              </w:rPr>
              <w:t>Extension payment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Remeasurement of carrying value to redemption value</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1,152,044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Common stock subject to possible redemption,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24,322,162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Classification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 has analyzed the Public Warrants and Private Warrants and determined they are considered to be freestanding instruments and do not exhibit any of the characteristics in ASC 480 and therefore are not classified as liabilities under ASC 480.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under ASC 740, “Income Taxes.” ASC 740, Income Taxes,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2022 and 2021, the Company’s deferred tax asset had a full valuation allowance recorded against it. Our effective tax rate was 182.20% and 0.00% for the year ended December 31, 2022 and 2021, respectively. The effective tax rate differs from the statutory tax rate of 21% for the year ended December 31, 2022 and 2021, due to franchise tax interest, state taxes, net of federal tax benefit, merger and acquisition expenses, and the valuation allowance on the deferred tax assets.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The Company has two classes of common stock, which are referred to as redeemable common stock and non-redeemable common stock. Income and losses are shared pro rata between the two classes of common stock. Net loss per common share is computed by dividing net loss by the weighted average number of shares of common stock outstanding for the period. Remeasurement associated with the redeemable shares of common stock is excluded from net loss per common share as the redemption value approximates fair value.</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calculation of diluted loss per common share does not consider the effect of the warrants issued in connection with the (i) Initial Public Offering, and (ii) the private placement since the exercise of the warrants is contingent upon the occurrence of future events. The warrants are exercisable to purchase 5,980,750 shares of common stock in the aggregate. As of December 31, 2022 and 2021, the Company did not have any dilutive securities or other contracts that could, potentially, be exercised or converted into common stocks and then share in the earnings of the Company. As a result, diluted net loss per common share is the same as basic net loss per common share for the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the calculation of basic and diluted net loss per common share (in dollars,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5"/>
              </w:rPr>
              <w:t>For the Year Ended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2"/>
              <w:spacing w:after="0" w:line="142" w:lineRule="exact"/>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ind w:right="9"/>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9"/>
              </w:rPr>
              <w:t>Redeemable</w:t>
            </w: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Non-redeemable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6"/>
              </w:rPr>
              <w:t>Redeemable</w:t>
            </w:r>
          </w:p>
        </w:tc>
        <w:tc>
          <w:tcPr>
            <w:tcW w:w="8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Non-redeemable</w:t>
            </w:r>
          </w:p>
        </w:tc>
        <w:tc>
          <w:tcPr>
            <w:tcW w:w="20" w:type="dxa"/>
            <w:vAlign w:val="bottom"/>
          </w:tcPr>
          <w:p>
            <w:pPr>
              <w:spacing w:after="0"/>
              <w:rPr>
                <w:sz w:val="10"/>
                <w:szCs w:val="10"/>
                <w:color w:val="auto"/>
              </w:rPr>
            </w:pPr>
          </w:p>
        </w:tc>
      </w:tr>
      <w:tr>
        <w:trPr>
          <w:trHeight w:val="171"/>
        </w:trPr>
        <w:tc>
          <w:tcPr>
            <w:tcW w:w="548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common stock</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common stock</w:t>
            </w:r>
          </w:p>
        </w:tc>
        <w:tc>
          <w:tcPr>
            <w:tcW w:w="8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common stock</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Basic and diluted net loss per common share</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Allocation of net loss,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(40,282)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(247,320)</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(155,222)</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and diluted 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11,425,027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3,336,500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4,505,479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2,827,725</w:t>
            </w:r>
          </w:p>
        </w:tc>
        <w:tc>
          <w:tcPr>
            <w:tcW w:w="20" w:type="dxa"/>
            <w:vAlign w:val="bottom"/>
          </w:tcPr>
          <w:p>
            <w:pPr>
              <w:spacing w:after="0"/>
              <w:rPr>
                <w:sz w:val="18"/>
                <w:szCs w:val="18"/>
                <w:color w:val="auto"/>
              </w:rPr>
            </w:pPr>
          </w:p>
        </w:tc>
      </w:tr>
      <w:tr>
        <w:trPr>
          <w:trHeight w:val="224"/>
        </w:trPr>
        <w:tc>
          <w:tcPr>
            <w:tcW w:w="5480" w:type="dxa"/>
            <w:vAlign w:val="bottom"/>
          </w:tcPr>
          <w:p>
            <w:pPr>
              <w:ind w:left="120"/>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which simplifies accounting for convertible instruments by removing major separation models required under GAAP. ASU 2020-06 removes certain settlement conditions that are required for equity contracts to qualify for the derivative scope exception and it also simplifies the diluted earnings per share calculation in certain areas. ASU 2020-06 is effective for fiscal years beginning after December 15, 2023 including interim periods within those fiscal years, with early adoption permitted. The Company adopted ASU 2020-06 on January 1, 2021. The adoption of ASU 2020-06 did not have an impact on the Company’s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10, 2021, pursuant to the Initial Public Offering, the Company sold 11,500,000 Units, which included a full exercise by the underwriters of their over-allotment option in the amount of 1,500,000 Units, at a price of $10.00 per Unit. Each Unit consists of one share of common stock and one-half of one redeemable warrant (“Public Warrant”). Each whole Public Warrant entitles the holder thereof to purchase one share of common stock at an exercise price of $11.50 per share, subject to adjustment (see Note 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Simultaneously with the closing of the Initial Public Offering, certain of the Initial Stockholders purchased an aggregate of 461,500 Private Units at a price of $10.00 per Private Unit, for an aggregate purchase price of $4,615,000, in a private placement. Each Private Unit consists of one share of common stock (“Private Share”) and one-half of one redeemable warrant (“Private Warrant”). Each whole Private Warrant entitles the holder thereof to purchase one share of common stock at a price of $11.50 per share, subject to adjustment (see Note 7). The proceeds from the Private Units were added to the proceeds from the Initial Public Offering held in the Trust Account. If the Company does not complete a Business Combination within the Combination Period, the proceeds from the sale of the Private Units will be used to fund the redemption of the Public Shares (subject to the requirements of 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2019, an Initial Stockholder purchased an aggregate of 100 shares of the Company’s common stock for an aggregate price of $25,000. On June 29, 2020, the Company effected a stock dividend of 43,125 shares of common stock for each share of common stock outstanding, resulting in an aggregate of 4,312,500 shares of common stock being outstanding. On July 1, 2021, certain of the Initial Stockholders sold an aggregate of 1,490,874 shares of common stock to the Company for an aggregate purchase price of $8,643, of which 1,437,500 shares were cancelled and the remaining 53,374 shares were purchased by certain of the Company’s officers from the Company for an aggregate purchase price of $464, resulting in an aggregate of 2,875,000 shares of common stock being outstanding (the “Founder Shares”). The Founder Shares included an aggregate of up to 375,000 shares subject to forfeiture by the Initial Stockholders to the extent that the underwriters’ over-allotment was not exercised in full or in part, so that the Initial Stockholders would collectively own approximately 20% of the Company’s issued and outstanding shares after the Initial Public Offering (assuming the Initial Stockholders did not purchase any Public Shares in the Initial Public Offering and excluding the Private Shares). As a result of the underwriters’ election to fully exercise their over-allotment option, no Founder Shares are subject to forfeiture.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sale of the Founders Shares to certain of the Company’s officers, as described above, is within the scope of FASB ASC Topic 718, “Compensation-Stock Compensation” (“ASC 718”). Under ASC 718, stock-based compensation associated with equity-classified awards is measured at fair value upon the grant date. The fair value of the 53,374 shares sold to the Company’s officer was $323,446, or $6.06 per share. The Founders Shares were effectively sold subject to a performance condition (i.e., the occurrence of a Business Combination). Compensation expense related to the Founders Shares is recognized only when the performance condition is probable of occurrence. Stock-based compensation will be recognized at the date a Business Combination is considered probable in an amount equal to the number of Founders Shares times the grant date fair value per share (unless subsequently modified) less the amount initially</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received for the purchase of the Founders Shares. As of December 31, 2021, the Company determined that a Business Combination is not considered probable, and, therefore, no stock-based compensation expense has been recognized.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Initial Stockholders have agreed, subject to certain limited exceptions, not to transfer, assign or sell any of the Founder Shares until</w:t>
      </w:r>
    </w:p>
    <w:p>
      <w:pPr>
        <w:spacing w:after="0" w:line="46" w:lineRule="exact"/>
        <w:rPr>
          <w:sz w:val="20"/>
          <w:szCs w:val="20"/>
          <w:color w:val="auto"/>
        </w:rPr>
      </w:pPr>
    </w:p>
    <w:p>
      <w:pPr>
        <w:jc w:val="both"/>
        <w:ind w:firstLine="8"/>
        <w:spacing w:after="0" w:line="252"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50% of the Founder Shares, the earlier of six months after the completion of a Business Combination and the date on which the closing price of the common stock equals or exceeds $12.50 per share (as adjusted for stock splits, stock dividends, reorganizations, recapitalizations and the like) for any 20 trading days within any 30-trading day period commencing after a Business Combination and (2) with respect to the remaining 50% of the Founder Shares, six months after the completion of a Business Combination, or earlier, in either case, if, subsequent to a Business Combination, the Company completes a liquidation, merger, stock exchange or other similar transaction which results in all of the Company’s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3, 2021, the Company issued an unsecured promissory note to an Initial Stockholder (the “Promissory Note”), pursuant to which the Company could borrow up to an aggregate principal amount of $200,000. The Promissory Note was non-interest bearing and payable on the earlier of the consummation of the Initial Public Offering or the date on which the Company determined not to proceed with the Initial Public Offering. The outstanding balance under the Promissory Note of $200,000 was repaid at the closing of the Initial Public Offering on August 10, 2021. Borrowings under Promissory Note are no longer available.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and certain of the Company’s officers and directors (or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be repaid upon consummation of a Business Combination, without interest. No Working Capital Loans were outstanding as of December 31, 2022 and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 and Business Combination Marketing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5, 2021, the Company entered into an underwriting agreement and a business combination marketing agreement with Roth Capital Partners, LLC (“Roth”) and Craig-Hallum Capital Group LLC (“Craig-Hallum”), the underwriters in the Initial Public Offering. The underwriters are related parties of the Company. On December 5, 2022, the Company entered a letter agreement to terminate the business combination marketing agreement. See Note 6 for a discussion of the business combination marketing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 Certain Initial Stockholders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16, 2022, the Company paid $135,440 to the Non-redeeming Stockholders on behalf of certain Initial Stockholders in connection with the Non-Redemption Agreements (see Note 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a registration rights agreement entered into on August 5, 2021, the holders of the Founder Shares, as well as the holders of the Private Units (and underlying securities), are entitled to registration rights.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Units (and underlying securities) can elect to exercise these registration rights at any time after the Company consummates a Business Combination. In addition, the holders have certain “piggy-back”</w:t>
      </w:r>
    </w:p>
    <w:p>
      <w:pPr>
        <w:sectPr>
          <w:pgSz w:w="11900" w:h="16838" w:orient="portrait"/>
          <w:cols w:equalWidth="0" w:num="1">
            <w:col w:w="9920"/>
          </w:cols>
          <w:pgMar w:left="980" w:top="517"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 Notwithstanding the foregoing, the holders may not exercise demand or piggyback rights after five (5) and seven (7) years, respectively, from the effective date of the Initial Public Offering and may not exercise demand rights on more than one occasion in respect of all registrable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a business combination marketing agreement entered into on August 5, 2021, the Company engaged Roth and Craig-Hallum, the underwriters in the Initial Public Offering, as advisors in connection with its Business Combination to assist in the transaction structuring and negotiation of a definitive purchase agreement with respect to the Business Combination, hold meetings with the stockholders to discuss the Business Combination and the target’s attributes, introduce the Company to potential investors to purchase its securities in connection with the Business Combination, assist in obtaining stockholder approval for the Business Combination, and assist with financial analysis, presentations, press releases and filings related to the Business Combination. The Company agreed to pay Roth and Craig-Hallum a fee for such services upon the consummation of a Business Combination in an amount equal to, in the aggregate, 4.5% of the gross proceeds of the Initial Public Offering, or $5,175,000. Roth and Craig-Hallum were not entitled to such fee unless the Company consummated a Business Combination.</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Concurrently with the execution of the Merger Agreement on December 5, 2022, the Company entered into a letter agreement with Roth and Craig-Hallum to terminate the Business Combination Marketing Agreement (the “Letter Agreement”). Pursuant to the Letter Agreement, in exchange for services rendered in connection with the transactions contemplated in the Merger Agreement, Roth may be issued up to 300,000 Advisor Shares (shares of common stock, post-merger) equal to a fixed amount of 100,000 shares, regardless of the amount of equity raised in exchange for services rendered in connection with the transactions contemplated in the Merger Agreement, plus up to 200,000 shares based on the equity raised (“Variable Compensation Shares”). The number of Variable Compensation Shares will be equal to the product of (x) the quotient of equity raised divided by $50.0 million, multiplied by (y) 200,000. The Advisor Shares are issuable based on (a) the gross proceeds received from a capital raising transaction involving the equity securities of the Company and (b) the amount remaining in the Company’s trust account after giving effect to any redemptions (as further described in the Letter Agreement). On February 23, 2023, the Company entered into an amendment to the Letter Agreement. Pursuant to the amendment, the term equity raised was revised to mean the gross proceeds available to the post-Business Combination company immediately after the closing of the Business Combination consisting of (a) the gross proceeds received from a capital raising transaction involving the equity securities or equity-linked instruments of Tigo Energy, provided, however, that the $50.0 million of proceeds from the sale of convertible promissory notes by Tigo Energy to L1 Energy Capital Management S.a.r.l. shall be excluded from the calculation of equity raised; (b) the gross proceeds received from a capital raising transaction involving the equity securities of the Company; and (c) the amount remaining in the Company’s trust account after giving effect to any redemptions.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Advisor Shares in the Letter Agreement is in the scope of FASB ASC Topic 718, “Compensation-Stock Compensation” (“ASC 718”). Under ASC 718, stock-based compensation associated with equity-classified awards is measured at fair value upon the grant date. The fair value of the up to 300,000 Advisor Shares that Roth may receive for services rendered is $10.20 per share, the value of the common stock of the Company at December 31, 2022. The Advisor Shares were effectively granted subject to a performance condition (i.e., the occurrence of a Business Combination). Compensation expense related to the Advisor Shares is recognized only when the performance condition is probable of occurrence. Stock-based compensation will be recognized at the date a Business Combination is considered probable in an amount equal to the number of Advisor Shares times the grant date fair value per share (unless subsequently modified). As of December 31, 2022, the Company determined that a Business Combination is not considered probable, and, therefore, no stock-based compensation expense has been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service agreement entered on July 5, 2022, the Company engaged Roth and Craig-Hallum (together the “financial advisors”) to provide services in connection with a proposed financing by the Company in connection with a business combination. In connection with this agreement the Company may be required to pay fees in connection with their services to the extent that the financing is executed. If during the term of the agreement the Company completes a financing of equity securities, convertible securities or debt of the Company, the Company has agreed to pay the financial advisors a fee in the amount of 4.0% of the gross proceeds raised. Each advisor would receive 50% of any placement agent fee, which will be paid upon the closing of the offering and business combination.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term of the agreement will run until the earlier of the date that the Company completes any Business Combination and otherwise liquidates the funds held in the Trust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5, 2022, the Company, entered into the Merger Agreement with Merger Sub and Tigo Energy. The transactions set forth in the Merger Agreement, including the Merger, will constitute a “Business Combination” as contemplated by the Company’s Amended and Restated Certificate of Incorporation. Subject to the terms and conditions set forth in the Merger Agreement, Merger Sub will merge with and into Tigo Energy, with Tigo Energy surviving as a wholly owned subsidiary of the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Merger Agreement, the Sponsors (as defined in the Sale and Purchase Agreement) entered into the Sale and Purchase Agreement with Tigo Energy, pursuant to which, immediately prior to the effective time of the Merger, the Sponsors will sell to Tigo Energy 1,645,000 shares of Common Stock and 424,000 Private Units in exchange for an amount equal to $2,300,000 pursuant to the Sale and Purchase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Non-Redemption Agreements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8 and 9, 2022, the Company entered into Non-Redemption Agreements with various stockholders (the “Non-redeeming Stockholders”) owning, in the aggregate, 1,631,811 shares of the Company’s common stock, pursuant to which these stockholders committed not to redeem their shares in the Company in connection with the Extension Amendment. In consideration of such agreements, CR Financial Holdings, Inc. and CHLM Sponsor, certain of our Initial Stockholders, agreed to pay the Non-redeeming Stockholders that entered into such agreements $0.083 per share for the period from the stockholder approval of the Extension Amendment on December 20, 2022 through February 10, 2023 and subsequently $0.05 per share for each one-month extension in connection with such agreements. No additional funds were deposited into the Trust Account. On December 16, 2022, the Company paid $135,440 (the “Extension Payment”) to the Non-Redeeming Stockholders on behalf of such Initial Stockholders. The value of the Extension Payment was determined to be the equivalent of an offering cost in accordance with Staff Accounting Bulletin Topic 5A. Accordingly, the offering costs would be allocated to the separable financial instruments on a relative fair value basis, compared to total proceeds received. The Company recorded a reduction in temporary equity for the Extension Payment of $135,440. A contribution to Additional Paid-in Capital and a receivable in Due from certain Initial Stockholders was recorded for the amount due from such initial stockholders of $135,440 in connection with the Extension Amendment. The amount due from certain Initial Stockholders was paid in full to the Company by Tigo Energy on March 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 EQUITY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50,000,000 shares of common stock with a par value of $0.0001 per share.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and 2021, there were 3,336,500 shares of common stock issued and outstanding, respectively, excluding 2,378,249 shares and 11,500,000 shares of common stock subject to possible redemption which are presented as temporary equity. On December 20, 2022, in connection with the Extension Amendment, stockholders holding 9,121,751 shares of redeemable common stock exercised their right to redeem such shares for a pro rata portion of the funds in the Trust Account at a pro rata redemption price of approximately $10.24 per share.</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As of December 31, 2022 and 2021, there were 5,750,000 Public Warrants and 230,750 Private Warrants outstanding.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no Public Warrants or Private Warrants outstanding.</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not issue fractional warrants. The Public Warrants will become exercisable 30 days after the completion of a Business Combination.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the registration statement of which the prospectus for the Company’s Initial Public Offering forms a part is not available and a new registration statement covering the shares of common stock issuable upon exercise of the Public Warrants is not effective within 120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The warrants will expire five years from the closing of a Business Combination.</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for any 20 trading days within a 30-day trading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on exercise of the warrants may be adjusted in certain circumstances including in the event of a stock dividend, extraordinary dividend or recapitalization, reorganization, merger or consolidation. However, except as described below, the warrants will not be adjusted for issuances of shares of common stock at a price below their respective exercise prices.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a Business Combination at an issue price or effective issue price of less than $9.20 per share of common stock (with such issue price or effective issue price to be determined in good faith by the Company’s board of directors),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Company’s common stock during the 20 trading day period starting on the trading day prior to the day on which the Company consummates Business Combination (such price, the “Market Value”) is below $9.20 per share, the exercise price of the warrants will be adjusted (to the nearest cent) to be equal to 115% of the Market Value and the $18.00 per share redemption trigger price described above will be adjusted (to the nearest cent) to be equal to 180% of the Market Price.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with respect to certain registration rights and transfer restrictions, the Private Warrants are identical to the Public Warrants underlying the Units sold in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years ended December 31, 2022 and 2021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395,019</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Current</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173,794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395,019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The Company’s net deferred tax assets at December 31, 2022 and 2021 were as follows:</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Arial" w:cs="Arial" w:eastAsia="Arial" w:hAnsi="Arial"/>
                <w:sz w:val="18"/>
                <w:szCs w:val="18"/>
                <w:color w:val="auto"/>
              </w:rPr>
              <w:t>Net operating loss carryforward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Startup/Organizational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258,742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(258,742)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(84,947)</w:t>
            </w: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color w:val="auto"/>
              </w:rPr>
              <w:t>Deferred tax assets, net of valuation allowance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and 2021, the Company had $0 and $147,184 of U.S. federal net operating loss carryovers available to offset future taxable income.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2022, the change in the valuation allowance was $173,794. For the year ended December 31, 2021, the change in the valuation allowance was $84,534.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federal income tax rate to the Company’s effective tax rate at December 31, 2022 and 2021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2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8"/>
              </w:rPr>
              <w:t>December 31,</w:t>
            </w:r>
          </w:p>
        </w:tc>
        <w:tc>
          <w:tcPr>
            <w:tcW w:w="1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6.98 %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M&amp;A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Franchise tax interest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0.07 %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67.10 %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09"/>
        </w:trPr>
        <w:tc>
          <w:tcPr>
            <w:tcW w:w="74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files income tax returns in the U.S. federal jurisdiction and is subject to examination by the various taxing authorities. The Company’s tax returns for the years ended December 31, 2022 and 2021 remain open and subject to examination.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5" w:lineRule="exact"/>
        <w:rPr>
          <w:sz w:val="20"/>
          <w:szCs w:val="20"/>
          <w:color w:val="auto"/>
        </w:rPr>
      </w:pPr>
    </w:p>
    <w:p>
      <w:pPr>
        <w:jc w:val="both"/>
        <w:ind w:left="980" w:hanging="647"/>
        <w:spacing w:after="0" w:line="263"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4" w:lineRule="exact"/>
        <w:rPr>
          <w:sz w:val="20"/>
          <w:szCs w:val="20"/>
          <w:color w:val="auto"/>
        </w:rPr>
      </w:pPr>
    </w:p>
    <w:p>
      <w:pPr>
        <w:jc w:val="both"/>
        <w:ind w:left="980" w:right="20" w:hanging="647"/>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jc w:val="both"/>
        <w:ind w:left="980" w:right="20" w:hanging="647"/>
        <w:spacing w:after="0" w:line="277" w:lineRule="auto"/>
        <w:rPr>
          <w:sz w:val="20"/>
          <w:szCs w:val="20"/>
          <w:color w:val="auto"/>
        </w:rPr>
      </w:pPr>
      <w:r>
        <w:rPr>
          <w:rFonts w:ascii="Arial" w:cs="Arial" w:eastAsia="Arial" w:hAnsi="Arial"/>
          <w:sz w:val="18"/>
          <w:szCs w:val="18"/>
          <w:color w:val="auto"/>
        </w:rPr>
        <w:t>Level 3: Unobservable inputs based on our assessment of the assumptions that market participants would use in pricing the asset or liability.</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at December 31, 2022 and 2021 and indicates the fair value hierarchy of the valuation inputs the Company utilized to determine such fair value: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Level</w:t>
            </w:r>
          </w:p>
        </w:tc>
        <w:tc>
          <w:tcPr>
            <w:tcW w:w="1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020" w:type="dxa"/>
            <w:vAlign w:val="bottom"/>
          </w:tcPr>
          <w:p>
            <w:pPr>
              <w:jc w:val="right"/>
              <w:ind w:right="339"/>
              <w:spacing w:after="0"/>
              <w:rPr>
                <w:sz w:val="20"/>
                <w:szCs w:val="20"/>
                <w:color w:val="auto"/>
              </w:rPr>
            </w:pPr>
            <w:r>
              <w:rPr>
                <w:rFonts w:ascii="Arial" w:cs="Arial" w:eastAsia="Arial" w:hAnsi="Arial"/>
                <w:sz w:val="18"/>
                <w:szCs w:val="18"/>
                <w:color w:val="auto"/>
              </w:rPr>
              <w:t>1</w:t>
            </w:r>
          </w:p>
        </w:tc>
        <w:tc>
          <w:tcPr>
            <w:tcW w:w="1200" w:type="dxa"/>
            <w:vAlign w:val="bottom"/>
            <w:gridSpan w:val="2"/>
          </w:tcPr>
          <w:p>
            <w:pPr>
              <w:jc w:val="center"/>
              <w:ind w:left="19"/>
              <w:spacing w:after="0"/>
              <w:rPr>
                <w:sz w:val="20"/>
                <w:szCs w:val="20"/>
                <w:color w:val="auto"/>
              </w:rPr>
            </w:pPr>
            <w:r>
              <w:rPr>
                <w:rFonts w:ascii="Arial" w:cs="Arial" w:eastAsia="Arial" w:hAnsi="Arial"/>
                <w:sz w:val="18"/>
                <w:szCs w:val="18"/>
                <w:color w:val="auto"/>
                <w:w w:val="93"/>
              </w:rPr>
              <w:t>$ 24,678,170</w:t>
            </w:r>
          </w:p>
        </w:tc>
        <w:tc>
          <w:tcPr>
            <w:tcW w:w="1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$ 116,738,316</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consolidated financial statements were issued. Based upon this review, other than as described below, the Company did not identify any subsequent events that would have required adjustment or disclosure in the consolidated financial statements.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9, 2023, the Company received a letter from The Nasdaq Stock Market LLC (“Nasdaq”), which stated that the Company no longer complied with Nasdaq’s continued listing rules due to the Company not having held an annual meeting of shareholders within 12 months of the Company’s fiscal year end, as required pursuant to Nasdaq Listing Rule 5620(a). In accordance with Nasdaq Listing Rule 5810(c)(2)(G), the Company had 45 calendar days to submit a plan to regain compliance and, if Nasdaq accepted the plan, Nasdaq would grant the Company an exception of up to 180 calendar days from the fiscal year end, or until June 29, 2023, to regain compliance. The Company held its Annual Meeting of Stockholders on February 13, 2023.</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10, 2023 and March 10, 2023, Tigo Energy paid certain Initial Stockholders an aggregate amount of $163,182 (or $0.05 per share), according to the terms of the Non-Redemption Agreements in connection with the one-month Trust extension from February 10, 2023 to March 10, 2023 and with the one-month Trust extension from March 10, 2023 to April 10, 2023.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ROTH CH ACQUISITION IV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14, 2023, the Company issued an unsecured promissory note in the aggregate principal amount of $200,000 (the “Note”) to CR Financial Holdings, Inc. (the “Payee”). Pursuant to the Note, the Payee agreed to loan to the Company an aggregate amount of $200,000 that shall be payable on the earlier of (i) the date on which the Company consummates a business combination with target businesses, or (ii) the date the Company liquidates if a business combination is not consummated. The Note bears no interest rate. In the event that the Company does not consummate a business combination, the Note will be repaid only from amounts remaining outside of the Company’s trust account, if any. The proceeds of the Note will be used for the Company to pay various expenses of the Company and for general corporate purposes.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16, 2022, the Company paid $135,440 to the Non-redeeming Stockholders in connection with extension of the Trust account on behalf of certain Initial Stockholders. On March 1, 2023, Tigo Energy repaid the amount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EXCHANGE ACT OF 1934</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As of December 31, 2022, the end of the period covered by this Annual Report on Form 10-K, Roth CH Acquisition IV Co. (the “Company,” “we,” “us,” or “our”) has three classes of securities registered under Section 12 of the Securities Exchange Act of 1934, as amended (the “Exchange Act”): the Company’s common stock, $0.0001 par value (“common stock”), warrants to purchase common stock (“warrants”), and units comprised of one share of common stock and one-half of one redeemable warrant.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description of the Company’s capital stock and provisions of the Company’s amended and restated certificate of incorporation, bylaws and the Delaware General Corporation Law are summaries and are qualified in their entirety by reference to the Company’s amended and restated certificate of incorporation and bylaws and the text of the Delaware General Corporation Law. Copies of these documents have been filed with the SEC as exhibits to the Annual Report on Form 10-K to which this description has been filed as an exhibit.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certificate of incorporation currently authorizes the issuance of 50,000,000 shares of common stock. As of the date of this Annual Report on Form 10-K, 5,714,749 shares of common stock are issued and outstanding and no preferred shares are issued or outstanding. The following description summarizes all of the material terms of our securities. Because it is only a summary, it may not contain all the information that is important to you. For a complete description you should refer to our amended and restated certificate of incorporation and bylaws, which are filed as exhibits to this Annual Report on Form 10-K.</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Each unit consists of one share of common stock and one half of one redeemable warrant. Each whole warrant entitles the holder thereof to purchase one share of common stock at a price of $11.50 per share, subject to adjustment.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the holder thereof owns a multiple of two units, the number of warrants issuable upon separation of the units will be rounded down to the nearest whole number of warrants.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Except with respect to certain registration rights and transfer restrictions, the private units are identical to the units sold as part of the public units in our initial public offering.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including both the insider shares and any shares acquired in our initial public offering or following our initial public offering in the open market, in favor of the proposed business combination.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if a stockholder vote is held, a majority of the outstanding shares of common stock voted are voted in favor of the business combination.</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our certificate of incorporation, if we do not consummate our initial business combination within 18 months from the closing of our initial public offering (or by July 10, 2023, if we extend the time to complete 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597535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jc w:val="both"/>
        <w:spacing w:after="0" w:line="287" w:lineRule="auto"/>
        <w:rPr>
          <w:sz w:val="20"/>
          <w:szCs w:val="20"/>
          <w:color w:val="auto"/>
        </w:rPr>
      </w:pPr>
      <w:r>
        <w:rPr>
          <w:rFonts w:ascii="Arial" w:cs="Arial" w:eastAsia="Arial" w:hAnsi="Arial"/>
          <w:sz w:val="16"/>
          <w:szCs w:val="16"/>
          <w:color w:val="auto"/>
        </w:rPr>
        <w:t>combination),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w:t>
      </w:r>
    </w:p>
    <w:p>
      <w:pPr>
        <w:spacing w:after="0" w:line="2" w:lineRule="exact"/>
        <w:rPr>
          <w:sz w:val="20"/>
          <w:szCs w:val="20"/>
          <w:color w:val="auto"/>
        </w:rPr>
      </w:pPr>
    </w:p>
    <w:p>
      <w:pPr>
        <w:jc w:val="both"/>
        <w:ind w:firstLine="8"/>
        <w:spacing w:after="0" w:line="253"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or shares underlying the private units.</w:t>
      </w:r>
    </w:p>
    <w:p>
      <w:pPr>
        <w:spacing w:after="0" w:line="19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date of this Annual Report on Form 10-K, 5,980,750 warrants are outstanding. 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the holder thereof owns a multiple of two units, the number of warrants issuable upon separation of the units will be rounded down to the nearest whole number of warrants. However, no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closing price of the shares of common stock for the ten (10) trading days ending on the trading day prior to the date of exercise. The warrants will expire five years from the closing of our initial business combination at 5:00 p.m., New York City time.</w:t>
      </w:r>
    </w:p>
    <w:p>
      <w:pPr>
        <w:spacing w:after="0" w:line="3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if (x) we issue additional shares of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(y) the aggregate gross proceeds from such issuances represent more than 60% of the total equity proceeds, and interest thereon, available for the funding of our initial business combination, and (z) the volume weighted average trading price of our shares of common stock during the 20 trading day period starting on the trading day prior to the day on which we consummate our initial business combination (such price, the “Market Price”) is below $9.20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2" w:name="page63"/>
    <w:bookmarkEnd w:id="62"/>
    <w:p>
      <w:pPr>
        <w:spacing w:after="0" w:line="342" w:lineRule="auto"/>
        <w:rPr>
          <w:sz w:val="20"/>
          <w:szCs w:val="20"/>
          <w:color w:val="auto"/>
        </w:rPr>
      </w:pPr>
      <w:r>
        <w:rPr>
          <w:rFonts w:ascii="Arial" w:cs="Arial" w:eastAsia="Arial" w:hAnsi="Arial"/>
          <w:sz w:val="16"/>
          <w:szCs w:val="16"/>
          <w:color w:val="auto"/>
        </w:rPr>
        <w:t>share, the exercise price of the warrants will be adjusted (to the nearest cent) to be equal to 115% of the Market Price, and the $18.00 per share redemption trigger price described above will be adjusted (to the nearest cent) to be equal to 180% of the Market Price.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call the outstanding warrants for redemption, in whole and not in part, at a price of $0.01 per warrant:</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for any 20 trading days within a 30-day trading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for this purpose shall mean the average reported closing price of the shares of common stock for the ten (10) trading days ending on the third trading day prior to the date on which the notice of redemption is sent to holders of the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pacing w:after="0" w:line="18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However, the warrants will not be adjusted for issuances of shares of common stock at a price below their respective exercise prices.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stock. After the issuance of shares of common stock upon exercise of the warrants, each holder will be entitled to one vote for each share held of record on all matters to be voted on by stockholders.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Except as described above, no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9.9% of the shares of common stock outstanding.</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transfer agent for our shares of common stock and warrant agent for our warrants is Continental Stock Transfer &amp; Trust Company, 1 State Street, 30th Floor, New York, New York 10004.</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Certain Anti-Takeover Provisions of Delaware Law and our Certificate of Incorporation and Bylaws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stockholder who owns 10% or more of our outstanding voting stock (otherwise known as an “interested stockholder”);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4" w:name="page65"/>
    <w:bookmarkEnd w:id="64"/>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70"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to the fullest extent permitted by law, shall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Delaware General Corporation Law, or the DGCL, or our amended and restated certificate of incorporation or our bylaws, (4) action asserting a claim as to which the DGCL confers jurisdiction on the Court of Chancery of the State of Delaware, or (5) action asserting a claim against us or any director or officer of our company governed by the internal affairs doctrine, except for, as to each of (1) through (5)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Securities Act or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Special meeting of stockholders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content of a stockholders’ meeting. These provisions may preclude our stockholders from bringing matters before our annual meeting of stockholders or from making nominations for directors at our annual meeting of stockholders.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Authorized but unissued shares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authorized but unissued common stock is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could render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Roth IV Merger Sub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Byron Roth, certify that:</w:t>
      </w:r>
    </w:p>
    <w:p>
      <w:pPr>
        <w:spacing w:after="0" w:line="225"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Roth CH Acquisition IV Co.;</w:t>
      </w:r>
    </w:p>
    <w:p>
      <w:pPr>
        <w:spacing w:after="0" w:line="225" w:lineRule="exact"/>
        <w:rPr>
          <w:rFonts w:ascii="Arial" w:cs="Arial" w:eastAsia="Arial" w:hAnsi="Arial"/>
          <w:sz w:val="18"/>
          <w:szCs w:val="18"/>
          <w:color w:val="auto"/>
        </w:rPr>
      </w:pPr>
    </w:p>
    <w:p>
      <w:pPr>
        <w:ind w:left="200" w:right="40" w:hanging="192"/>
        <w:spacing w:after="0" w:line="263"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00" w:right="20" w:hanging="192"/>
        <w:spacing w:after="0" w:line="342"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200" w:right="20" w:hanging="192"/>
        <w:spacing w:after="0" w:line="263"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20" w:hanging="316"/>
        <w:spacing w:after="0" w:line="271" w:lineRule="auto"/>
        <w:tabs>
          <w:tab w:leader="none" w:pos="5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00" w:right="340" w:hanging="316"/>
        <w:spacing w:after="0" w:line="277" w:lineRule="auto"/>
        <w:tabs>
          <w:tab w:leader="none" w:pos="5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500" w:right="120" w:hanging="316"/>
        <w:spacing w:after="0" w:line="263" w:lineRule="auto"/>
        <w:tabs>
          <w:tab w:leader="none" w:pos="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00" w:right="80" w:hanging="316"/>
        <w:spacing w:after="0" w:line="263" w:lineRule="auto"/>
        <w:tabs>
          <w:tab w:leader="none" w:pos="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00" w:right="160" w:hanging="192"/>
        <w:spacing w:after="0" w:line="263" w:lineRule="auto"/>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500" w:right="20" w:hanging="316"/>
        <w:spacing w:after="0" w:line="291" w:lineRule="auto"/>
        <w:tabs>
          <w:tab w:leader="none" w:pos="5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right="220" w:hanging="316"/>
        <w:spacing w:after="0" w:line="260" w:lineRule="auto"/>
        <w:tabs>
          <w:tab w:leader="none" w:pos="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8"/>
          <w:szCs w:val="18"/>
          <w:color w:val="auto"/>
        </w:rPr>
        <w:t>Byron Roth</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Gordon Roth, certify that:</w:t>
      </w:r>
    </w:p>
    <w:p>
      <w:pPr>
        <w:spacing w:after="0" w:line="225"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Roth CH Acquisition IV Co.;</w:t>
      </w:r>
    </w:p>
    <w:p>
      <w:pPr>
        <w:spacing w:after="0" w:line="225" w:lineRule="exact"/>
        <w:rPr>
          <w:rFonts w:ascii="Arial" w:cs="Arial" w:eastAsia="Arial" w:hAnsi="Arial"/>
          <w:sz w:val="18"/>
          <w:szCs w:val="18"/>
          <w:color w:val="auto"/>
        </w:rPr>
      </w:pPr>
    </w:p>
    <w:p>
      <w:pPr>
        <w:ind w:left="200" w:right="40" w:hanging="192"/>
        <w:spacing w:after="0" w:line="263"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200" w:right="20" w:hanging="192"/>
        <w:spacing w:after="0" w:line="342" w:lineRule="auto"/>
        <w:tabs>
          <w:tab w:leader="none" w:pos="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200" w:right="20" w:hanging="192"/>
        <w:spacing w:after="0" w:line="263"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20" w:hanging="316"/>
        <w:spacing w:after="0" w:line="271" w:lineRule="auto"/>
        <w:tabs>
          <w:tab w:leader="none" w:pos="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00" w:right="340" w:hanging="316"/>
        <w:spacing w:after="0" w:line="277" w:lineRule="auto"/>
        <w:tabs>
          <w:tab w:leader="none" w:pos="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500" w:right="120" w:hanging="316"/>
        <w:spacing w:after="0" w:line="263"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500" w:right="80" w:hanging="316"/>
        <w:spacing w:after="0" w:line="263"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200" w:right="160" w:hanging="192"/>
        <w:spacing w:after="0" w:line="263" w:lineRule="auto"/>
        <w:tabs>
          <w:tab w:leader="none" w:pos="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500" w:right="20" w:hanging="316"/>
        <w:spacing w:after="0" w:line="291" w:lineRule="auto"/>
        <w:tabs>
          <w:tab w:leader="none" w:pos="5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right="220" w:hanging="316"/>
        <w:spacing w:after="0" w:line="260" w:lineRule="auto"/>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/s/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14605</wp:posOffset>
            </wp:positionV>
            <wp:extent cx="30861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Gordon Roth</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Roth CH Acquisition IV Co. (the “Company”) on Form 10-K for the year ended December 31, 2022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34"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/s/ Byron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5715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Byron Roth</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Co-Chief Executive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i w:val="1"/>
          <w:iCs w:val="1"/>
          <w:color w:val="auto"/>
        </w:rPr>
        <w:t>/s/ Gordon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5715</wp:posOffset>
            </wp:positionV>
            <wp:extent cx="3351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Gordon Roth</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Roman"/>
      <w:start w:val="3"/>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amp;"/>
      <w:numFmt w:val="bullet"/>
      <w:start w:val="1"/>
    </w:lvl>
  </w:abstractNum>
  <w:abstractNum w:abstractNumId="11">
    <w:nsid w:val="2D1D5AE9"/>
    <w:multiLevelType w:val="hybridMultilevel"/>
    <w:lvl w:ilvl="0">
      <w:lvlJc w:val="left"/>
      <w:lvlText w:val="%1"/>
      <w:numFmt w:val="upperLetter"/>
      <w:start w:val="6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9"/>
    </w:lvl>
  </w:abstractNum>
  <w:abstractNum w:abstractNumId="19">
    <w:nsid w:val="54E49EB4"/>
    <w:multiLevelType w:val="hybridMultilevel"/>
    <w:lvl w:ilvl="0">
      <w:lvlJc w:val="left"/>
      <w:lvlText w:val="%1"/>
      <w:numFmt w:val="decimal"/>
      <w:start w:val="104"/>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1)"/>
      <w:numFmt w:val="lowerRoman"/>
      <w:start w:val="2"/>
    </w:lvl>
  </w:abstractNum>
  <w:abstractNum w:abstractNumId="22">
    <w:nsid w:val="836C40E"/>
    <w:multiLevelType w:val="hybridMultilevel"/>
    <w:lvl w:ilvl="0">
      <w:lvlJc w:val="left"/>
      <w:lvlText w:val="(%1)"/>
      <w:numFmt w:val="lowerRoman"/>
      <w:start w:val="1"/>
    </w:lvl>
  </w:abstractNum>
  <w:abstractNum w:abstractNumId="23">
    <w:nsid w:val="2901D82"/>
    <w:multiLevelType w:val="hybridMultilevel"/>
    <w:lvl w:ilvl="0">
      <w:lvlJc w:val="left"/>
      <w:lvlText w:val="(%1)"/>
      <w:numFmt w:val="lowerRoman"/>
      <w:start w:val="4"/>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3"/>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6"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95" Type="http://schemas.openxmlformats.org/officeDocument/2006/relationships/image" Target="media/image58.png"/><Relationship Id="rId96" Type="http://schemas.openxmlformats.org/officeDocument/2006/relationships/image" Target="media/image59.png"/><Relationship Id="rId97" Type="http://schemas.openxmlformats.org/officeDocument/2006/relationships/image" Target="media/image60.png"/><Relationship Id="rId98" Type="http://schemas.openxmlformats.org/officeDocument/2006/relationships/image" Target="media/image61.png"/><Relationship Id="rId9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107"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10" Type="http://schemas.openxmlformats.org/officeDocument/2006/relationships/image" Target="media/image73.png"/><Relationship Id="rId111" Type="http://schemas.openxmlformats.org/officeDocument/2006/relationships/image" Target="media/image74.png"/><Relationship Id="rId112"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47" Type="http://schemas.openxmlformats.org/officeDocument/2006/relationships/hyperlink" Target="https://www.sec.gov/Archives/edgar/data/1855447/000110465921103492/tm2112097d24_ex1-1.htm" TargetMode="External"/><Relationship Id="rId48" Type="http://schemas.openxmlformats.org/officeDocument/2006/relationships/hyperlink" Target="https://www.sec.gov/Archives/edgar/data/1855447/000110465922124948/tm2232023d1_ex2-1.htm" TargetMode="External"/><Relationship Id="rId49" Type="http://schemas.openxmlformats.org/officeDocument/2006/relationships/hyperlink" Target="https://www.sec.gov/Archives/edgar/data/1855447/000110465921103492/tm2112097d24_ex3-1.htm" TargetMode="External"/><Relationship Id="rId50" Type="http://schemas.openxmlformats.org/officeDocument/2006/relationships/hyperlink" Target="https://www.sec.gov/Archives/edgar/data/1855447/000110465922128677/tm2233166d1_ex3-1.htm" TargetMode="External"/><Relationship Id="rId51" Type="http://schemas.openxmlformats.org/officeDocument/2006/relationships/hyperlink" Target="https://www.sec.gov/Archives/edgar/data/1855447/000110465921090357/tm2112097d2_ex3-6.htm" TargetMode="External"/><Relationship Id="rId52" Type="http://schemas.openxmlformats.org/officeDocument/2006/relationships/hyperlink" Target="https://www.sec.gov/Archives/edgar/data/1855447/000110465921098797/tm2112097d5_ex4-1.htm" TargetMode="External"/><Relationship Id="rId53" Type="http://schemas.openxmlformats.org/officeDocument/2006/relationships/hyperlink" Target="https://www.sec.gov/Archives/edgar/data/1855447/000110465921096761/tm2112097d4_ex4-2.htm" TargetMode="External"/><Relationship Id="rId54" Type="http://schemas.openxmlformats.org/officeDocument/2006/relationships/hyperlink" Target="https://www.sec.gov/Archives/edgar/data/1855447/000110465921096761/tm2112097d4_ex4-3.htm" TargetMode="External"/><Relationship Id="rId55" Type="http://schemas.openxmlformats.org/officeDocument/2006/relationships/hyperlink" Target="https://www.sec.gov/Archives/edgar/data/1855447/000110465921103492/tm2112097d24_ex4-1.htm" TargetMode="External"/><Relationship Id="rId57" Type="http://schemas.openxmlformats.org/officeDocument/2006/relationships/hyperlink" Target="https://www.sec.gov/Archives/edgar/data/1855447/000110465921103492/tm2112097d24_ex10-1.htm" TargetMode="External"/><Relationship Id="rId58" Type="http://schemas.openxmlformats.org/officeDocument/2006/relationships/hyperlink" Target="https://www.sec.gov/Archives/edgar/data/1855447/000110465921103492/tm2112097d24_ex10-2.htm" TargetMode="External"/><Relationship Id="rId59" Type="http://schemas.openxmlformats.org/officeDocument/2006/relationships/hyperlink" Target="https://www.sec.gov/Archives/edgar/data/1855447/000110465921103492/tm2112097d24_ex10-3.htm" TargetMode="External"/><Relationship Id="rId60" Type="http://schemas.openxmlformats.org/officeDocument/2006/relationships/hyperlink" Target="https://www.sec.gov/Archives/edgar/data/1855447/000110465921103492/tm2112097d24_ex10-4.htm" TargetMode="External"/><Relationship Id="rId61" Type="http://schemas.openxmlformats.org/officeDocument/2006/relationships/hyperlink" Target="https://www.sec.gov/Archives/edgar/data/1855447/000110465921103492/tm2112097d24_ex10-5.htm" TargetMode="External"/><Relationship Id="rId62" Type="http://schemas.openxmlformats.org/officeDocument/2006/relationships/hyperlink" Target="https://www.sec.gov/Archives/edgar/data/1855447/000110465921103492/tm2112097d24_ex10-6.htm" TargetMode="External"/><Relationship Id="rId63" Type="http://schemas.openxmlformats.org/officeDocument/2006/relationships/hyperlink" Target="https://www.sec.gov/Archives/edgar/data/1855447/000110465921103492/tm2112097d24_ex10-7.htm" TargetMode="External"/><Relationship Id="rId64" Type="http://schemas.openxmlformats.org/officeDocument/2006/relationships/hyperlink" Target="https://www.sec.gov/Archives/edgar/data/1855447/000110465922124948/tm2232023d1_ex10-1.htm" TargetMode="External"/><Relationship Id="rId65" Type="http://schemas.openxmlformats.org/officeDocument/2006/relationships/hyperlink" Target="https://www.sec.gov/Archives/edgar/data/1855447/000110465922124948/tm2232023d1_ex10-2.htm" TargetMode="External"/><Relationship Id="rId66" Type="http://schemas.openxmlformats.org/officeDocument/2006/relationships/hyperlink" Target="https://www.sec.gov/Archives/edgar/data/1855447/000110465922124948/tm2232023d1_ex10-3.htm" TargetMode="External"/><Relationship Id="rId67" Type="http://schemas.openxmlformats.org/officeDocument/2006/relationships/hyperlink" Target="https://www.sec.gov/Archives/edgar/data/1855447/000110465922124948/tm2232023d1_ex10-4.htm" TargetMode="External"/><Relationship Id="rId68" Type="http://schemas.openxmlformats.org/officeDocument/2006/relationships/hyperlink" Target="https://www.sec.gov/Archives/edgar/data/1855447/000110465922124948/tm2232023d1_ex10-5.htm" TargetMode="External"/><Relationship Id="rId69" Type="http://schemas.openxmlformats.org/officeDocument/2006/relationships/hyperlink" Target="https://www.sec.gov/Archives/edgar/data/1855447/000110465922124948/tm2232023d1_ex10-6.htm" TargetMode="External"/><Relationship Id="rId70" Type="http://schemas.openxmlformats.org/officeDocument/2006/relationships/hyperlink" Target="https://www.sec.gov/Archives/edgar/data/1855447/000110465922124948/tm2232023d1_ex10-7.htm" TargetMode="External"/><Relationship Id="rId71" Type="http://schemas.openxmlformats.org/officeDocument/2006/relationships/hyperlink" Target="https://www.sec.gov/Archives/edgar/data/1855447/000110465922124948/tm2232023d1_ex10-8.htm" TargetMode="External"/><Relationship Id="rId72" Type="http://schemas.openxmlformats.org/officeDocument/2006/relationships/hyperlink" Target="https://www.sec.gov/Archives/edgar/data/1855447/000110465922126617/tm2232537d1_ex10-1.htm" TargetMode="External"/><Relationship Id="rId73" Type="http://schemas.openxmlformats.org/officeDocument/2006/relationships/hyperlink" Target="https://www.sec.gov/Archives/edgar/data/1855447/000110465923023313/tm237293d1_ex10-1.htm" TargetMode="External"/><Relationship Id="rId74" Type="http://schemas.openxmlformats.org/officeDocument/2006/relationships/hyperlink" Target="https://www.sec.gov/Archives/edgar/data/1855447/000110465921090357/tm2112097d2_ex14-1.htm" TargetMode="External"/><Relationship Id="rId75" Type="http://schemas.openxmlformats.org/officeDocument/2006/relationships/hyperlink" Target="https://www.sec.gov/Archives/edgar/data/1855447/000110465921090357/tm2112097d2_ex99-1.htm" TargetMode="External"/><Relationship Id="rId76" Type="http://schemas.openxmlformats.org/officeDocument/2006/relationships/hyperlink" Target="https://www.sec.gov/Archives/edgar/data/1855447/000110465921090357/tm2112097d2_ex99-2.htm" TargetMode="External"/><Relationship Id="rId77" Type="http://schemas.openxmlformats.org/officeDocument/2006/relationships/hyperlink" Target="https://www.sec.gov/Archives/edgar/data/1855447/000110465921090357/tm2112097d2_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2023-03-31T15:42:35Z</dcterms:created>
  <dcterms:modified xsi:type="dcterms:W3CDTF">2023-03-31T15:42:35Z</dcterms:modified>
</cp:coreProperties>
</file>