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tygo-20260930.htm"/>
      <w:bookmarkStart w:id="1" w:name="kstygo20260930"/>
      <w:bookmarkEnd w:id="0"/>
      <w:bookmarkEnd w:id="1"/>
      <w:r>
        <w:t> </w:t>
      </w:r>
    </w:p>
    <w:p>
      <w:pPr>
        <w:pStyle w:val="TextBody"/>
        <w:pBdr>
          <w:top w:val="double" w:sz="6" w:space="1" w:color="000000"/>
        </w:pBdr>
        <w:bidi w:val="0"/>
        <w:jc w:val="left"/>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22" w:type="dxa"/>
        <w:jc w:val="left"/>
        <w:tblInd w:w="0" w:type="dxa"/>
        <w:tblLayout w:type="fixed"/>
        <w:tblCellMar>
          <w:top w:w="28" w:type="dxa"/>
          <w:left w:w="28" w:type="dxa"/>
          <w:bottom w:w="28" w:type="dxa"/>
          <w:right w:w="28" w:type="dxa"/>
        </w:tblCellMar>
      </w:tblPr>
      <w:tblGrid>
        <w:gridCol w:w="2776"/>
        <w:gridCol w:w="1246"/>
      </w:tblGrid>
      <w:t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983 University Avenue, Suite B,</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Gatos, California</w:t>
            </w:r>
          </w:p>
        </w:tc>
        <w:tc>
          <w:tcPr>
            <w:tcW w:w="1246" w:type="dxa"/>
            <w:tcBorders/>
            <w:tcMar>
              <w:top w:w="0" w:type="dxa"/>
              <w:left w:w="0" w:type="dxa"/>
              <w:bottom w:w="0" w:type="dxa"/>
              <w:right w:w="0" w:type="dxa"/>
            </w:tcMar>
            <w:vAlign w:val="center"/>
          </w:tcPr>
          <w:p>
            <w:pPr>
              <w:pStyle w:val="TableContents"/>
              <w:bidi w:val="0"/>
              <w:jc w:val="center"/>
            </w:pPr>
            <w: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95032</w:t>
            </w:r>
          </w:p>
        </w:tc>
      </w:tr>
      <w:t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pPr>
      <w: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As of October 30, 2026, the registrant had 77,588,382 shares of common stock, $0.0001 par value per share, outstanding.</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statements that are “forward-looking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in this Quarterly Report on Form 10-Q may include, for example,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opportunities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meet the continued listing requirements of Nasdaq;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develop and sell its product offerings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seasonal trends and the cyclical nature of the solar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liquidity and trading of the Company’s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acquire and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the Company’s dependence on a small number of outside contract manufacturers, primarily in China, Thailand, Vietnam and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working with leading solar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respond to fluctuations in foreign currency exchange rates, trade tariffs or other trade barriers, and political unrest and regulatory changes in the markets into which the Company expands or otherwise operates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enhance future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forecast demand accurately and monetize its inventory on-hand;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or recruit, or changes required in, its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maintain effective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the Company’s business, operations and financial performance,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comply with laws and regulations applicable to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in the markets in which the Company operates, as well as inflation, instability of financial institutions, rising interest rates and recessionary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compete in the highly competitive and evolving solar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to develop new products and innovations to meet constantly evolving customer demands;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expansion plans in residential markets in the U.S. and EMEA and its ability to continue to diversify its customer base;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into, successfully maintain and manage relationships with partners and distributors;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pPr>
      <w:r>
        <w:t> </w:t>
      </w:r>
    </w:p>
    <w:p>
      <w:pPr>
        <w:pStyle w:val="TextBody"/>
        <w:bidi w:val="0"/>
        <w:spacing w:before="240" w:after="283"/>
        <w:jc w:val="both"/>
        <w:rPr>
          <w:color w:val="000000"/>
        </w:rPr>
      </w:pPr>
      <w:r>
        <w:rPr>
          <w:color w:val="000000"/>
        </w:rPr>
        <w:t>“</w:t>
      </w:r>
      <w:r>
        <w:rPr>
          <w:rFonts w:ascii="Times New Roman" w:hAnsi="Times New Roman"/>
          <w:color w:val="000000"/>
          <w:sz w:val="20"/>
        </w:rPr>
        <w:t>SEC”) on March 19, 2026 (the “2025 Annual Report”)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pPr>
      <w: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35"/>
        <w:gridCol w:w="9108"/>
        <w:gridCol w:w="362"/>
      </w:tblGrid>
      <w:tr>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9108"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362" w:type="dxa"/>
            <w:tcBorders/>
            <w:tcMar>
              <w:top w:w="0" w:type="dxa"/>
              <w:left w:w="0" w:type="dxa"/>
              <w:bottom w:w="0" w:type="dxa"/>
              <w:right w:w="0" w:type="dxa"/>
            </w:tcMar>
            <w:vAlign w:val="center"/>
          </w:tcPr>
          <w:p>
            <w:pPr>
              <w:pStyle w:val="TableContents"/>
              <w:bidi w:val="0"/>
              <w:spacing w:before="0" w:after="283"/>
              <w:jc w:val="right"/>
            </w:pPr>
            <w:r>
              <w:t> </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1_financial_statements_unaudited">
              <w:r>
                <w:rPr>
                  <w:rStyle w:val="InternetLink"/>
                  <w:rFonts w:ascii="Times New Roman" w:hAnsi="Times New Roman"/>
                  <w:color w:val="0000FF"/>
                  <w:sz w:val="20"/>
                  <w:u w:val="single"/>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condensed_consolidated_balance_sheets">
              <w:r>
                <w:rPr>
                  <w:rStyle w:val="InternetLink"/>
                  <w:rFonts w:ascii="Times New Roman" w:hAnsi="Times New Roman"/>
                  <w:color w:val="0000FF"/>
                  <w:sz w:val="20"/>
                  <w:u w:val="single"/>
                </w:rPr>
                <w:t>Condensed Consolidated Balance Sheets as of September 30, 2026, and December 31, 2025</w:t>
              </w:r>
            </w:hyperlink>
            <w:hyperlink w:anchor="condensed_consolidated_balance_sheets">
              <w:r>
                <w:rPr>
                  <w:rStyle w:val="InternetLink"/>
                  <w:rFonts w:ascii="Times New Roman" w:hAnsi="Times New Roman"/>
                  <w:color w:val="0000FF"/>
                  <w:sz w:val="20"/>
                </w:rPr>
                <w:t xml:space="preserve"> </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condensed_stmt_of_ops_and_comp_income">
              <w:r>
                <w:rPr>
                  <w:rStyle w:val="InternetLink"/>
                  <w:rFonts w:ascii="Times New Roman" w:hAnsi="Times New Roman"/>
                  <w:color w:val="0000FF"/>
                  <w:sz w:val="20"/>
                  <w:u w:val="single"/>
                </w:rPr>
                <w:t>Condensed Consolidated Statements of Operations and Comprehensive Income (Loss) for the Three and Nine Months Ended September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statements_of_equity">
              <w:r>
                <w:rPr>
                  <w:rStyle w:val="InternetLink"/>
                  <w:rFonts w:ascii="Times New Roman" w:hAnsi="Times New Roman"/>
                  <w:color w:val="0000FF"/>
                  <w:sz w:val="20"/>
                  <w:u w:val="single"/>
                </w:rPr>
                <w:t>Condensed Consolidated Statements of Stockholders’ Equity for the Three and Nine Months Ended September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condensed_consolidated_stmt_of_cash_flow">
              <w:r>
                <w:rPr>
                  <w:rStyle w:val="InternetLink"/>
                  <w:rFonts w:ascii="Times New Roman" w:hAnsi="Times New Roman"/>
                  <w:color w:val="0000FF"/>
                  <w:sz w:val="20"/>
                  <w:u w:val="single"/>
                </w:rPr>
                <w:t>Condensed Consolidated Statements of Cash Flows for the Nine Months Ended September 30,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notes_to_consolidated_condensed_fin_stmt">
              <w:r>
                <w:rPr>
                  <w:rStyle w:val="InternetLink"/>
                  <w:rFonts w:ascii="Times New Roman" w:hAnsi="Times New Roman"/>
                  <w:color w:val="0000FF"/>
                  <w:sz w:val="20"/>
                  <w:u w:val="single"/>
                </w:rPr>
                <w:t>Notes to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4_controls_and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2" w:type="dxa"/>
            <w:tcBorders/>
            <w:tcMar>
              <w:top w:w="0" w:type="dxa"/>
              <w:left w:w="0" w:type="dxa"/>
              <w:bottom w:w="0" w:type="dxa"/>
              <w:right w:w="0" w:type="dxa"/>
            </w:tcMar>
            <w:vAlign w:val="center"/>
          </w:tcPr>
          <w:p>
            <w:pPr>
              <w:pStyle w:val="TableContents"/>
              <w:bidi w:val="0"/>
              <w:spacing w:before="0" w:after="283"/>
              <w:jc w:val="right"/>
            </w:pPr>
            <w:r>
              <w:t> </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1A.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tem_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c>
          <w:tcPr>
            <w:tcW w:w="735" w:type="dxa"/>
            <w:tcBorders/>
            <w:tcMar>
              <w:top w:w="0" w:type="dxa"/>
              <w:left w:w="0" w:type="dxa"/>
              <w:bottom w:w="0" w:type="dxa"/>
              <w:right w:w="0" w:type="dxa"/>
            </w:tcMar>
            <w:vAlign w:val="center"/>
          </w:tcPr>
          <w:p>
            <w:pPr>
              <w:pStyle w:val="TableContents"/>
              <w:bidi w:val="0"/>
              <w:spacing w:before="0" w:after="283"/>
              <w:jc w:val="left"/>
            </w:pPr>
            <w:r>
              <w:t> </w:t>
            </w:r>
          </w:p>
        </w:tc>
        <w:tc>
          <w:tcPr>
            <w:tcW w:w="9108" w:type="dxa"/>
            <w:tcBorders/>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b/>
          <w:i/>
          <w:color w:val="000000"/>
          <w:sz w:val="18"/>
        </w:rPr>
      </w:pPr>
      <w:bookmarkStart w:id="2" w:name="item_1_financial_statements_unaudited"/>
      <w:bookmarkEnd w:id="2"/>
      <w:r>
        <w:rPr>
          <w:rFonts w:ascii="Times New Roman" w:hAnsi="Times New Roman"/>
          <w:b/>
          <w:i/>
          <w:color w:val="000000"/>
          <w:sz w:val="18"/>
        </w:rPr>
        <w:t>Item 1. Financial Statements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953"/>
        <w:gridCol w:w="146"/>
        <w:gridCol w:w="217"/>
        <w:gridCol w:w="833"/>
        <w:gridCol w:w="166"/>
        <w:gridCol w:w="146"/>
        <w:gridCol w:w="213"/>
        <w:gridCol w:w="817"/>
        <w:gridCol w:w="714"/>
      </w:tblGrid>
      <w:tr>
        <w:tc>
          <w:tcPr>
            <w:tcW w:w="6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September 30,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receivable, net of allowance for credit losses of $2,212 and $356 at September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13,895</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31,286</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57,999</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29,196</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38,768</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50,414</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 $0.0001 par value: 150,000,000 shares authorized; 77,563,845 and 70,424,566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168,022</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(140,406</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c>
          <w:tcPr>
            <w:tcW w:w="695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27,623</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695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24"/>
        <w:gridCol w:w="646"/>
        <w:gridCol w:w="211"/>
        <w:gridCol w:w="1036"/>
        <w:gridCol w:w="166"/>
        <w:gridCol w:w="146"/>
        <w:gridCol w:w="211"/>
        <w:gridCol w:w="1036"/>
        <w:gridCol w:w="166"/>
        <w:gridCol w:w="146"/>
        <w:gridCol w:w="211"/>
        <w:gridCol w:w="1036"/>
        <w:gridCol w:w="166"/>
        <w:gridCol w:w="146"/>
        <w:gridCol w:w="211"/>
        <w:gridCol w:w="1036"/>
        <w:gridCol w:w="711"/>
      </w:tblGrid>
      <w:tr>
        <w:tc>
          <w:tcPr>
            <w:tcW w:w="29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16,054</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income from operations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 net: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on sale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expenses,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(benefit)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gain resulting from change in fair value of marketable securities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(13,594</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common share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75,318,550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78,041,788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78,553,959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18"/>
        </w:rPr>
      </w:pPr>
      <w:r>
        <w:rPr>
          <w:rFonts w:ascii="Times New Roman" w:hAnsi="Times New Roman"/>
          <w:b/>
          <w:color w:val="000000"/>
          <w:sz w:val="18"/>
        </w:rPr>
        <w:t>(In thousands, except share data)</w:t>
      </w:r>
      <w:r>
        <w:rPr>
          <w:rFonts w:ascii="Times New Roman" w:hAnsi="Times New Roman"/>
          <w:color w:val="000000"/>
          <w:sz w:val="18"/>
        </w:rPr>
        <w:t xml:space="preserve"> </w:t>
      </w:r>
    </w:p>
    <w:p>
      <w:pPr>
        <w:pStyle w:val="TextBody"/>
        <w:bidi w:val="0"/>
        <w:spacing w:before="0" w:after="240"/>
        <w:jc w:val="center"/>
        <w:rPr>
          <w:rFonts w:ascii="Times New Roman" w:hAnsi="Times New Roman"/>
          <w:b/>
          <w:color w:val="000000"/>
          <w:sz w:val="18"/>
        </w:rPr>
      </w:pPr>
      <w:bookmarkStart w:id="5" w:name="statements_of_equity"/>
      <w:bookmarkEnd w:id="5"/>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958"/>
        <w:gridCol w:w="146"/>
        <w:gridCol w:w="146"/>
        <w:gridCol w:w="796"/>
        <w:gridCol w:w="151"/>
        <w:gridCol w:w="146"/>
        <w:gridCol w:w="216"/>
        <w:gridCol w:w="415"/>
        <w:gridCol w:w="146"/>
        <w:gridCol w:w="146"/>
        <w:gridCol w:w="146"/>
        <w:gridCol w:w="187"/>
        <w:gridCol w:w="624"/>
        <w:gridCol w:w="151"/>
        <w:gridCol w:w="146"/>
        <w:gridCol w:w="207"/>
        <w:gridCol w:w="739"/>
        <w:gridCol w:w="151"/>
        <w:gridCol w:w="146"/>
        <w:gridCol w:w="318"/>
        <w:gridCol w:w="926"/>
        <w:gridCol w:w="198"/>
      </w:tblGrid>
      <w:tr>
        <w:tc>
          <w:tcPr>
            <w:tcW w:w="3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03"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70,424,566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168,022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27,623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performance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432,851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registered direct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restricted and performance stock awards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75,859,828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182,995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(142,156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40,846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246,534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662,741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76,769,103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184,614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(139,982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44,639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restricted stock awards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(298,187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3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77,563,845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185,428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45,814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18"/>
        </w:rPr>
      </w:pPr>
      <w:r>
        <w:rPr>
          <w:rFonts w:ascii="Times New Roman" w:hAnsi="Times New Roman"/>
          <w:b/>
          <w:color w:val="000000"/>
          <w:sz w:val="18"/>
        </w:rPr>
        <w:t>(In thousands, except share data)</w:t>
      </w:r>
      <w:r>
        <w:rPr>
          <w:rFonts w:ascii="Times New Roman" w:hAnsi="Times New Roman"/>
          <w:color w:val="000000"/>
          <w:sz w:val="18"/>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91"/>
        <w:gridCol w:w="146"/>
        <w:gridCol w:w="146"/>
        <w:gridCol w:w="796"/>
        <w:gridCol w:w="151"/>
        <w:gridCol w:w="146"/>
        <w:gridCol w:w="216"/>
        <w:gridCol w:w="415"/>
        <w:gridCol w:w="146"/>
        <w:gridCol w:w="146"/>
        <w:gridCol w:w="146"/>
        <w:gridCol w:w="187"/>
        <w:gridCol w:w="624"/>
        <w:gridCol w:w="151"/>
        <w:gridCol w:w="146"/>
        <w:gridCol w:w="207"/>
        <w:gridCol w:w="739"/>
        <w:gridCol w:w="151"/>
        <w:gridCol w:w="146"/>
        <w:gridCol w:w="559"/>
        <w:gridCol w:w="1073"/>
        <w:gridCol w:w="151"/>
        <w:gridCol w:w="146"/>
        <w:gridCol w:w="277"/>
        <w:gridCol w:w="806"/>
        <w:gridCol w:w="197"/>
      </w:tblGrid>
      <w:t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1"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60,800,130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146,903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(138,526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61,914,519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149,296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(145,527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554,938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62,628,790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151,646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6,485,219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(211,350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for taxes upon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69,484,663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164,166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(152,123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12,055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5462"/>
        <w:gridCol w:w="746"/>
        <w:gridCol w:w="196"/>
        <w:gridCol w:w="661"/>
        <w:gridCol w:w="746"/>
        <w:gridCol w:w="746"/>
        <w:gridCol w:w="196"/>
        <w:gridCol w:w="661"/>
        <w:gridCol w:w="791"/>
      </w:tblGrid>
      <w:tr>
        <w:tc>
          <w:tcPr>
            <w:tcW w:w="54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income (loss) to net cash (used in)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to write down inventories to net realizable value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transaction costs related to sale of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 benefit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(3,760</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long-term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(8,300</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borrowings under revolving credit facility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borrowings under revolving credit facility</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debt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registered direct offering costs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restricted and performance stock awards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options exercised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15,233</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9,083</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7,670</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16,753</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tbl>
      <w:tblPr>
        <w:tblW w:w="8887" w:type="dxa"/>
        <w:jc w:val="left"/>
        <w:tblInd w:w="0" w:type="dxa"/>
        <w:tblLayout w:type="fixed"/>
        <w:tblCellMar>
          <w:top w:w="28" w:type="dxa"/>
          <w:left w:w="28" w:type="dxa"/>
          <w:bottom w:w="28" w:type="dxa"/>
          <w:right w:w="28" w:type="dxa"/>
        </w:tblCellMar>
      </w:tblPr>
      <w:tblGrid>
        <w:gridCol w:w="5556"/>
        <w:gridCol w:w="346"/>
        <w:gridCol w:w="258"/>
        <w:gridCol w:w="495"/>
        <w:gridCol w:w="455"/>
        <w:gridCol w:w="455"/>
        <w:gridCol w:w="258"/>
        <w:gridCol w:w="673"/>
        <w:gridCol w:w="391"/>
      </w:tblGrid>
      <w:tr>
        <w:tc>
          <w:tcPr>
            <w:tcW w:w="5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55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and subsidiaries (together, the “Company”) consists of Tigo Energy, Inc. (“Tigo”), its wholly 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energy storage systems for the residential solar-plus-storage market, further expanding its suite of solutions for efficient and reliable energy management. The Company is headquartered in Los Gatos, California, with offices in Europe, Asia and the Middle East.</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 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Income and expenses are remeasured at the weighted-average exchange rates during the relevant reporting period. These remeasurement gains and losses are recorded in other income, net in the condensed consolidated statements of operations and comprehensive income (loss) and were not material for the three and nine months ended September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the Company’s condensed consolidated balance sheet as of September 30, 2026, and its condensed consolidated statements of operations and comprehensive income (loss) and stockholders’ equity for the three and nine months ended September 30, 2026, and 2025, and its condensed consolidated statements of cash flows for the nine months ended September 30, 2026, and 2025. Operating results for the three and nine months ended September 30, 2026, are not necessarily indicative of the results that may be expected for the full year ending December 31, 2026. The unaudited condensed consolidated financial statements, presented herein, do not contain all of the required disclosures under GAAP for annual consolidated financial statements. The condensed consolidated balance sheet as of December 31, 2025, has been derived from the audited consolidated balance sheet as of that date. These unaudited condensed consolidated financial statements should be read in conjunction with the audited consolidated financial statements and notes thereto included in the Company’s 2025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Reclassification of Prior Period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conform with current period presentation, $0.3 million of other assets has been reclassified to deferred tax assets on the Company’s condensed consolidated balance sheet as of December 31, 2025. Additionally, a de minimis amount of prepaid expenses and other assets has been reclassified to deferred income tax benefit within operating activities on the Company’s condensed consolidated statement of cash flows for the nine months ended September 30, 2025. These changes in presentation do not affect previously reported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for the year ended December 31, 2025, which are included in the Company’s 2025 Annual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T</w:t>
      </w:r>
      <w:r>
        <w:rPr>
          <w:rFonts w:ascii="Times New Roman" w:hAnsi="Times New Roman"/>
          <w:color w:val="000000"/>
          <w:sz w:val="20"/>
        </w:rPr>
        <w:t>he preparation of the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Key estimates in the condensed consolidated financial statements include revenue recognition, allowance for credit losses, inventory valuation, impairment of long-lived assets, fair value of acquired intangible assets and goodwill, useful lives of acquired intangible assets and property and equipment, product warranty liabilities, incremental borrowing rate for operating lease right of use assets and liabilities, valuation allowance on deferred tax assets, assessment of probability of vesting of performance-based equity awards and stock-based compensation. These estimates are based on information available as of the date of the financial statements; therefore, actual results could differ materially from those estimates due to risks and uncertainties.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income (loss) as reported in the condensed consolidated statements of operations and comprehensive income (loss). There are no other significant expense categories regularly provided to the CODM that are not already included in the primary financial statements herein</w:t>
      </w:r>
      <w:r>
        <w:rPr>
          <w:rFonts w:ascii="Times New Roman" w:hAnsi="Times New Roman"/>
          <w:color w:val="231F2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Concentration</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For the three and nine months ended September 30, 2026, there were no customers that accounted for 10% or more of total net revenue. For the three months ended September 30, 2025, there were no customers that accounted for 10% or more of total net revenue. For the </w:t>
      </w:r>
      <w:r>
        <w:rPr>
          <w:rFonts w:ascii="Times New Roman" w:hAnsi="Times New Roman"/>
          <w:color w:val="000000"/>
          <w:sz w:val="20"/>
        </w:rPr>
        <w:t>nine months ended September 30, 2025</w:t>
      </w:r>
      <w:r>
        <w:rPr>
          <w:rFonts w:ascii="Times New Roman" w:hAnsi="Times New Roman"/>
          <w:color w:val="231F20"/>
          <w:sz w:val="20"/>
        </w:rPr>
        <w:t xml:space="preserve">, Customer A accounted for 10.2% of total net revenue.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At times, a portion of the Company’s accounts receivable is due from customers whose individual balances represent 10% or more of total accounts receivable. As of September 30, 2026, no customer accounted for 10% or more of total accounts receivable. As of December 31, 2025, customers accounting for 10% or more of total accounts receivable were as follows:</w:t>
      </w:r>
    </w:p>
    <w:tbl>
      <w:tblPr>
        <w:tblW w:w="3463" w:type="dxa"/>
        <w:jc w:val="left"/>
        <w:tblInd w:w="0" w:type="dxa"/>
        <w:tblLayout w:type="fixed"/>
        <w:tblCellMar>
          <w:top w:w="28" w:type="dxa"/>
          <w:left w:w="28" w:type="dxa"/>
          <w:bottom w:w="28" w:type="dxa"/>
          <w:right w:w="28" w:type="dxa"/>
        </w:tblCellMar>
      </w:tblPr>
      <w:tblGrid>
        <w:gridCol w:w="1081"/>
        <w:gridCol w:w="146"/>
        <w:gridCol w:w="458"/>
        <w:gridCol w:w="1462"/>
        <w:gridCol w:w="316"/>
      </w:tblGrid>
      <w:t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0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FASB issued </w:t>
      </w:r>
      <w:r>
        <w:rPr>
          <w:rFonts w:ascii="Times New Roman" w:hAnsi="Times New Roman"/>
          <w:i/>
          <w:color w:val="000000"/>
          <w:sz w:val="20"/>
        </w:rPr>
        <w:t>ASU 2025-05, Financial Instruments — Credit Losses (Topic 326): Measurement of Credit Losses for Accounts Receivable and Contract Assets</w:t>
      </w:r>
      <w:r>
        <w:rPr>
          <w:rFonts w:ascii="Times New Roman" w:hAnsi="Times New Roman"/>
          <w:color w:val="000000"/>
          <w:sz w:val="20"/>
        </w:rPr>
        <w:t>, which added a practical expedient that 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Company adopted this ASU on the effective date and it did not have a material impact on the Company’s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(Subtopic 220-40): Disaggregation of Income Statement Expenses </w:t>
      </w:r>
      <w:r>
        <w:rPr>
          <w:rFonts w:ascii="Times New Roman" w:hAnsi="Times New Roman"/>
          <w:color w:val="000000"/>
          <w:sz w:val="20"/>
        </w:rPr>
        <w:t xml:space="preserve">(“ASU 2024-03”). ASU 2024-03 requires disaggregation of certain costs and expenses included in each relevant expense caption on the Company’s condensed </w:t>
      </w:r>
      <w:r>
        <w:rPr>
          <w:rFonts w:ascii="Times New Roman" w:hAnsi="Times New Roman"/>
          <w:color w:val="231F20"/>
          <w:sz w:val="20"/>
        </w:rPr>
        <w:t>consolidated statements of operations and comprehensive income (loss)</w:t>
      </w:r>
      <w:r>
        <w:rPr>
          <w:rFonts w:ascii="Times New Roman" w:hAnsi="Times New Roman"/>
          <w:color w:val="000000"/>
          <w:sz w:val="20"/>
        </w:rPr>
        <w:t xml:space="preserve"> in a separate note to the financial statements at each interim and annual reporting period, including amounts of purchases of inventory, employee compensation, depreciation and intangible asset amortization. ASU 2024-03 is effective for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 xml:space="preserve">ASU 2025-06, Intangibles — Goodwill and Other — Internal-Use Software (Subtopic 350-40): Targeted Improvements to the Accounting for Internal-Use Software, </w:t>
      </w:r>
      <w:r>
        <w:rPr>
          <w:rFonts w:ascii="Times New Roman" w:hAnsi="Times New Roman"/>
          <w:color w:val="000000"/>
          <w:sz w:val="20"/>
        </w:rPr>
        <w:t xml:space="preserve">which removed the language around project stages that was used to assess when costs could be capitalized for internal-use software. The update also requires internal-use software to be disclosed under ASC 360, </w:t>
      </w:r>
      <w:r>
        <w:rPr>
          <w:rFonts w:ascii="Times New Roman" w:hAnsi="Times New Roman"/>
          <w:i/>
          <w:color w:val="000000"/>
          <w:sz w:val="20"/>
        </w:rPr>
        <w:t>Property, Plant, and Equipment</w:t>
      </w:r>
      <w:r>
        <w:rPr>
          <w:rFonts w:ascii="Times New Roman" w:hAnsi="Times New Roman"/>
          <w:color w:val="000000"/>
          <w:sz w:val="20"/>
        </w:rPr>
        <w:t xml:space="preserve"> guidance</w:t>
      </w:r>
      <w:r>
        <w:rPr>
          <w:rFonts w:ascii="Times New Roman" w:hAnsi="Times New Roman"/>
          <w:i/>
          <w:color w:val="000000"/>
          <w:sz w:val="20"/>
        </w:rPr>
        <w:t xml:space="preserve">. </w:t>
      </w:r>
      <w:r>
        <w:rPr>
          <w:rFonts w:ascii="Times New Roman" w:hAnsi="Times New Roman"/>
          <w:color w:val="000000"/>
          <w:sz w:val="20"/>
        </w:rPr>
        <w:t>The guidance is effective for annual periods beginning after December 15, 2027. The Company is currently evaluating the impact of adopting ASU 2025-06.</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2025-11</w:t>
      </w:r>
      <w:r>
        <w:rPr>
          <w:rFonts w:ascii="Times New Roman" w:hAnsi="Times New Roman"/>
          <w:color w:val="000000"/>
          <w:sz w:val="20"/>
        </w:rPr>
        <w:t xml:space="preserve">, </w:t>
      </w:r>
      <w:r>
        <w:rPr>
          <w:rFonts w:ascii="Times New Roman" w:hAnsi="Times New Roman"/>
          <w:i/>
          <w:color w:val="000000"/>
          <w:sz w:val="20"/>
        </w:rPr>
        <w:t>Interim Reporting (Topic 270): Narrow-Scope Improvements</w:t>
      </w:r>
      <w:r>
        <w:rPr>
          <w:rFonts w:ascii="Times New Roman" w:hAnsi="Times New Roman"/>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interim reporting periods within annual reporting periods beginning after December 15, 2027, with early adoption permitted. The Company is currently evaluating the impact of adopting ASU 2025-11.</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2025-12, Codification Improvements,</w:t>
      </w:r>
      <w:r>
        <w:rPr>
          <w:rFonts w:ascii="Times New Roman" w:hAnsi="Times New Roman"/>
          <w:color w:val="000000"/>
          <w:sz w:val="20"/>
        </w:rPr>
        <w:t xml:space="preserve"> to make various technical corrections, clarifications and other minor improvements to existing GAAP. The amendments are intended to improve the clarity and consistency of existing guidance and are not expected to significantly change current accounting practice. This ASU is effective for annual reporting periods beginning after December 15, 2026, and interim reporting periods within those annual reporting periods. Early adoption is permitted. The Company is required to apply the amendments to ASC Topic 260, </w:t>
      </w:r>
      <w:r>
        <w:rPr>
          <w:rFonts w:ascii="Times New Roman" w:hAnsi="Times New Roman"/>
          <w:i/>
          <w:color w:val="000000"/>
          <w:sz w:val="20"/>
        </w:rPr>
        <w:t>Earnings Per Share,</w:t>
      </w:r>
      <w:r>
        <w:rPr>
          <w:rFonts w:ascii="Times New Roman" w:hAnsi="Times New Roman"/>
          <w:color w:val="000000"/>
          <w:sz w:val="20"/>
        </w:rPr>
        <w:t xml:space="preserve"> retrospectively. All other amendments may be applied prospectively or retrospectively. The Company is currently evaluating the impact of adopting ASU 2025-12.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Basic earnings (loss) per share of common stock is computed by dividing net income (loss) by the weighted-average number of shares of common stock outstanding during the period, without consideration for potentially dilutive shares of common stock.</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Diluted earnings per common share considers the potential dilution that could occur if outstanding securities were exercised or settled in shares. Dilutive securities that may impact diluted earnings per share include shares underlying outstanding stock options, restricted stock units and performance stock units granted to employees and non-employees (see Note 10). Dilutive securities related to common shares underlying outstanding stock options, restricted stock units and performance stock units are included in the calculation of diluted earnings per share using the treasury stock method. Common shares underlying the Company’s former Convertible Promissory Notes, as defined below (see Note 7), which were outstanding during the three and nine months ended September 30, 2025, and were extinguished in December 2025, would have been included in the calculation of diluted earnings per share using the if-converted method to the extent dilutive.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For periods in which the Company reports net income, diluted earnings per share reflects the dilutive effect of outstanding stock options, restricted stock units, and performance stock units to the extent such securities are dilutive, as determined using the treasury stock method. For periods in which the Company reports a net loss, diluted loss per share is the same as basic loss per share, as the effect of potentially dilutive securities would have been antidilutive.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earnings (loss) per share of common stock:</w:t>
      </w:r>
    </w:p>
    <w:tbl>
      <w:tblPr>
        <w:tblW w:w="10205" w:type="dxa"/>
        <w:jc w:val="left"/>
        <w:tblInd w:w="0" w:type="dxa"/>
        <w:tblLayout w:type="fixed"/>
        <w:tblCellMar>
          <w:top w:w="28" w:type="dxa"/>
          <w:left w:w="28" w:type="dxa"/>
          <w:bottom w:w="28" w:type="dxa"/>
          <w:right w:w="28" w:type="dxa"/>
        </w:tblCellMar>
      </w:tblPr>
      <w:tblGrid>
        <w:gridCol w:w="3664"/>
        <w:gridCol w:w="346"/>
        <w:gridCol w:w="211"/>
        <w:gridCol w:w="1036"/>
        <w:gridCol w:w="146"/>
        <w:gridCol w:w="146"/>
        <w:gridCol w:w="211"/>
        <w:gridCol w:w="1036"/>
        <w:gridCol w:w="166"/>
        <w:gridCol w:w="146"/>
        <w:gridCol w:w="211"/>
        <w:gridCol w:w="1036"/>
        <w:gridCol w:w="146"/>
        <w:gridCol w:w="146"/>
        <w:gridCol w:w="211"/>
        <w:gridCol w:w="1036"/>
        <w:gridCol w:w="311"/>
      </w:tblGrid>
      <w:tr>
        <w:tc>
          <w:tcPr>
            <w:tcW w:w="36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36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Basic earnings (loss) per common share calculation: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75,318,550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(loss) per share of common stock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Diluted earnings (loss) per common share calculation: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77,045,771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75,318,550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impact of options, restricted stock units and performance stock units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78,041,788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65,683,332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78,553,959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63,226,401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of common stock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excluded the effect of the following securities from the calculation of diluted earnings (loss) per share, as their inclusion would have been antidilutive. These amounts represent the number of instruments outstanding at the end of the period. </w:t>
      </w:r>
    </w:p>
    <w:p>
      <w:pPr>
        <w:pStyle w:val="TextBody"/>
        <w:bidi w:val="0"/>
        <w:jc w:val="left"/>
      </w:pPr>
      <w:r>
        <w:t> </w:t>
      </w:r>
    </w:p>
    <w:tbl>
      <w:tblPr>
        <w:tblW w:w="7424" w:type="dxa"/>
        <w:jc w:val="left"/>
        <w:tblInd w:w="0" w:type="dxa"/>
        <w:tblLayout w:type="fixed"/>
        <w:tblCellMar>
          <w:top w:w="28" w:type="dxa"/>
          <w:left w:w="28" w:type="dxa"/>
          <w:bottom w:w="28" w:type="dxa"/>
          <w:right w:w="28" w:type="dxa"/>
        </w:tblCellMar>
      </w:tblPr>
      <w:tblGrid>
        <w:gridCol w:w="4336"/>
        <w:gridCol w:w="246"/>
        <w:gridCol w:w="146"/>
        <w:gridCol w:w="931"/>
        <w:gridCol w:w="146"/>
        <w:gridCol w:w="146"/>
        <w:gridCol w:w="146"/>
        <w:gridCol w:w="1036"/>
        <w:gridCol w:w="291"/>
      </w:tblGrid>
      <w:tr>
        <w:tc>
          <w:tcPr>
            <w:tcW w:w="43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4,970,163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10,276,024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unvested performance stock units subject to performance conditions outstanding as of September 30, 2026, and 2025, representing up to 1,173,365 and 1,760,048 shares, respectively, at the maximum payout level, are excluded from the calculation of diluted earnings (loss) per share because the performance conditions had not been achieved as of the end of each period. In August 2026, the Company granted performance stock units that vest based on the Company’s relative total shareholder return, a market condition. These units, representing up to 991,200 shares at the maximum payout level, are excluded from the calculation of diluted earnings (loss) per share for the three and nine months ended September 30, 2026, because no shares would have been issuable had September 30, 2026, been the end of the performance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its financial assets and liabilities at fair value on a recurring basis using a hierarchy that prioritizes the inputs to valuation techniques used to measure fair value. Authoritative guidance establishes three levels of the fair value hierarchy as follows: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643"/>
        <w:gridCol w:w="9562"/>
      </w:tblGrid>
      <w:t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Quoted market prices in active markets for identical assets or liabilities; </w:t>
            </w:r>
          </w:p>
        </w:tc>
      </w:tr>
      <w:t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Quoted prices for similar instruments in active markets; quoted prices for identical or similar instruments in markets that are not active; and model-derived valuations in which significant inputs and significant value drivers are observable in active markets; and </w:t>
            </w:r>
          </w:p>
        </w:tc>
      </w:tr>
      <w:t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Fair value measurements derived from valuation techniques in which one or more significant inputs or significant value drivers are unobservable.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pPr>
      <w:r>
        <w:t> </w:t>
      </w:r>
    </w:p>
    <w:tbl>
      <w:tblPr>
        <w:tblW w:w="5084" w:type="dxa"/>
        <w:jc w:val="left"/>
        <w:tblInd w:w="0" w:type="dxa"/>
        <w:tblLayout w:type="fixed"/>
        <w:tblCellMar>
          <w:top w:w="28" w:type="dxa"/>
          <w:left w:w="28" w:type="dxa"/>
          <w:bottom w:w="28" w:type="dxa"/>
          <w:right w:w="28" w:type="dxa"/>
        </w:tblCellMar>
      </w:tblPr>
      <w:tblGrid>
        <w:gridCol w:w="2171"/>
        <w:gridCol w:w="146"/>
        <w:gridCol w:w="211"/>
        <w:gridCol w:w="421"/>
        <w:gridCol w:w="146"/>
        <w:gridCol w:w="146"/>
        <w:gridCol w:w="239"/>
        <w:gridCol w:w="391"/>
        <w:gridCol w:w="146"/>
        <w:gridCol w:w="146"/>
        <w:gridCol w:w="239"/>
        <w:gridCol w:w="391"/>
        <w:gridCol w:w="291"/>
      </w:tblGrid>
      <w:t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nine months ended September 30, 2026, there were no transfers between Level 1, Level 2 and Level 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w:t>
      </w:r>
    </w:p>
    <w:p>
      <w:pPr>
        <w:pStyle w:val="TextBody"/>
        <w:bidi w:val="0"/>
        <w:jc w:val="left"/>
      </w:pPr>
      <w:r>
        <w:t> </w:t>
      </w:r>
    </w:p>
    <w:tbl>
      <w:tblPr>
        <w:tblW w:w="7451" w:type="dxa"/>
        <w:jc w:val="left"/>
        <w:tblInd w:w="0" w:type="dxa"/>
        <w:tblLayout w:type="fixed"/>
        <w:tblCellMar>
          <w:top w:w="28" w:type="dxa"/>
          <w:left w:w="28" w:type="dxa"/>
          <w:bottom w:w="28" w:type="dxa"/>
          <w:right w:w="28" w:type="dxa"/>
        </w:tblCellMar>
      </w:tblPr>
      <w:tblGrid>
        <w:gridCol w:w="1546"/>
        <w:gridCol w:w="146"/>
        <w:gridCol w:w="274"/>
        <w:gridCol w:w="878"/>
        <w:gridCol w:w="189"/>
        <w:gridCol w:w="189"/>
        <w:gridCol w:w="274"/>
        <w:gridCol w:w="878"/>
        <w:gridCol w:w="146"/>
        <w:gridCol w:w="146"/>
        <w:gridCol w:w="265"/>
        <w:gridCol w:w="849"/>
        <w:gridCol w:w="183"/>
        <w:gridCol w:w="183"/>
        <w:gridCol w:w="265"/>
        <w:gridCol w:w="849"/>
        <w:gridCol w:w="191"/>
      </w:tblGrid>
      <w:t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EMEA</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Americas</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Company’s net revenues generated from the Czech Republic, Germany and the United Kingdom represented 19.6%, 19.3% and 10.5% of total net revenue for the three months ended September 30, 2026, respectively. The Company’s net revenues generated from the Czech Republic, Germany, Italy and the United Kingdom represented 18.9%, 15.5%, 13.1% and 12.7% of total net revenue for the three months ended September 30, 2025, respectively. The Company’s net revenues generated from Germany, the Czech Republic and Italy represented 17.4%, 17.1% and 13.0% of total net revenue for the nine months ended September 30, 2026, respectively. The Company’s net revenues generated from Germany, the Czech Republic, the United Kingdom and Italy represented 17.7%, 17.3%, 12.1% and 11.8% of total net revenue for the nine months ended September 30, 2025, respectively.</w:t>
      </w:r>
    </w:p>
    <w:p>
      <w:pPr>
        <w:pStyle w:val="TextBody"/>
        <w:bidi w:val="0"/>
        <w:spacing w:lineRule="auto" w:line="360" w:before="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The Company’s net revenues generated from the United States represented 14.2% and 16.7% of our total net revenue for the three and nine months ended September 30, 2026, respectively. The Company’s net revenues generated from the United States represented 23.0% and 20.9% of total net revenue for the three and nine months ended September 30,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services.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deferred revenue:</w:t>
      </w:r>
    </w:p>
    <w:p>
      <w:pPr>
        <w:pStyle w:val="TextBody"/>
        <w:bidi w:val="0"/>
        <w:jc w:val="both"/>
      </w:pPr>
      <w:r>
        <w:t> </w:t>
      </w:r>
    </w:p>
    <w:tbl>
      <w:tblPr>
        <w:tblW w:w="9266" w:type="dxa"/>
        <w:jc w:val="left"/>
        <w:tblInd w:w="0" w:type="dxa"/>
        <w:tblLayout w:type="fixed"/>
        <w:tblCellMar>
          <w:top w:w="28" w:type="dxa"/>
          <w:left w:w="28" w:type="dxa"/>
          <w:bottom w:w="28" w:type="dxa"/>
          <w:right w:w="28" w:type="dxa"/>
        </w:tblCellMar>
      </w:tblPr>
      <w:tblGrid>
        <w:gridCol w:w="3241"/>
        <w:gridCol w:w="146"/>
        <w:gridCol w:w="283"/>
        <w:gridCol w:w="849"/>
        <w:gridCol w:w="223"/>
        <w:gridCol w:w="196"/>
        <w:gridCol w:w="283"/>
        <w:gridCol w:w="849"/>
        <w:gridCol w:w="166"/>
        <w:gridCol w:w="146"/>
        <w:gridCol w:w="260"/>
        <w:gridCol w:w="779"/>
        <w:gridCol w:w="205"/>
        <w:gridCol w:w="180"/>
        <w:gridCol w:w="260"/>
        <w:gridCol w:w="909"/>
        <w:gridCol w:w="291"/>
      </w:tblGrid>
      <w:t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2026, the Company expects to recognize $1.5 million from remaining performance obligations over a weighted-average term of 2.6 years. The Company recognized approximately $0.1 million and $0.9 million in revenue that was included in the beginning contract liabilities balance during the three and nine months ended September 30, 2026, respectively. The Company recognized approximately $0.4 million and $1.0 million in revenue that was included in the beginning contract liabilities balance during the three and nine months ended September 30, 2025,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Warranty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cost of its warranty obligations based on several key estimates: the warranty period (which varies from 5 to 25 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the product warranty liability:</w:t>
      </w:r>
    </w:p>
    <w:p>
      <w:pPr>
        <w:pStyle w:val="TextBody"/>
        <w:bidi w:val="0"/>
        <w:jc w:val="both"/>
      </w:pPr>
      <w:r>
        <w:t> </w:t>
      </w:r>
    </w:p>
    <w:tbl>
      <w:tblPr>
        <w:tblW w:w="9757" w:type="dxa"/>
        <w:jc w:val="left"/>
        <w:tblInd w:w="0" w:type="dxa"/>
        <w:tblLayout w:type="fixed"/>
        <w:tblCellMar>
          <w:top w:w="28" w:type="dxa"/>
          <w:left w:w="28" w:type="dxa"/>
          <w:bottom w:w="28" w:type="dxa"/>
          <w:right w:w="28" w:type="dxa"/>
        </w:tblCellMar>
      </w:tblPr>
      <w:tblGrid>
        <w:gridCol w:w="3731"/>
        <w:gridCol w:w="146"/>
        <w:gridCol w:w="302"/>
        <w:gridCol w:w="817"/>
        <w:gridCol w:w="237"/>
        <w:gridCol w:w="209"/>
        <w:gridCol w:w="302"/>
        <w:gridCol w:w="817"/>
        <w:gridCol w:w="166"/>
        <w:gridCol w:w="146"/>
        <w:gridCol w:w="291"/>
        <w:gridCol w:w="790"/>
        <w:gridCol w:w="229"/>
        <w:gridCol w:w="202"/>
        <w:gridCol w:w="291"/>
        <w:gridCol w:w="790"/>
        <w:gridCol w:w="291"/>
      </w:tblGrid>
      <w:t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7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and Geographic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(amounts in tables in thousands):</w:t>
      </w:r>
    </w:p>
    <w:p>
      <w:pPr>
        <w:pStyle w:val="TextBody"/>
        <w:bidi w:val="0"/>
        <w:jc w:val="both"/>
      </w:pPr>
      <w:r>
        <w:t> </w:t>
      </w:r>
    </w:p>
    <w:tbl>
      <w:tblPr>
        <w:tblW w:w="4330" w:type="dxa"/>
        <w:jc w:val="left"/>
        <w:tblInd w:w="0" w:type="dxa"/>
        <w:tblLayout w:type="fixed"/>
        <w:tblCellMar>
          <w:top w:w="28" w:type="dxa"/>
          <w:left w:w="28" w:type="dxa"/>
          <w:bottom w:w="28" w:type="dxa"/>
          <w:right w:w="28" w:type="dxa"/>
        </w:tblCellMar>
      </w:tblPr>
      <w:tblGrid>
        <w:gridCol w:w="1366"/>
        <w:gridCol w:w="146"/>
        <w:gridCol w:w="271"/>
        <w:gridCol w:w="869"/>
        <w:gridCol w:w="146"/>
        <w:gridCol w:w="146"/>
        <w:gridCol w:w="260"/>
        <w:gridCol w:w="835"/>
        <w:gridCol w:w="291"/>
      </w:tblGrid>
      <w:t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inventory reserve was $7.1 million and $14.3 million as of September 30, 2026, and December 31, 2025, respectively.</w:t>
      </w:r>
    </w:p>
    <w:tbl>
      <w:tblPr>
        <w:tblW w:w="7492" w:type="dxa"/>
        <w:jc w:val="left"/>
        <w:tblInd w:w="0" w:type="dxa"/>
        <w:tblLayout w:type="fixed"/>
        <w:tblCellMar>
          <w:top w:w="28" w:type="dxa"/>
          <w:left w:w="28" w:type="dxa"/>
          <w:bottom w:w="28" w:type="dxa"/>
          <w:right w:w="28" w:type="dxa"/>
        </w:tblCellMar>
      </w:tblPr>
      <w:tblGrid>
        <w:gridCol w:w="2731"/>
        <w:gridCol w:w="146"/>
        <w:gridCol w:w="1651"/>
        <w:gridCol w:w="146"/>
        <w:gridCol w:w="307"/>
        <w:gridCol w:w="833"/>
        <w:gridCol w:w="146"/>
        <w:gridCol w:w="146"/>
        <w:gridCol w:w="294"/>
        <w:gridCol w:w="801"/>
        <w:gridCol w:w="291"/>
      </w:tblGrid>
      <w:t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and nine months ended September 30, 2026, the Company recorded depreciation expense of $0.3 million and $0.8 million, respectively. For the three and nine months ended September 30, 2025, the Company recorded depreciation expense of $0.2 million and $0.7 million, respectively. Depreciation expense is recorded in the condensed consolidated statements of operations and comprehensive income (loss). </w:t>
      </w:r>
    </w:p>
    <w:p>
      <w:pPr>
        <w:pStyle w:val="TextBody"/>
        <w:bidi w:val="0"/>
        <w:jc w:val="both"/>
      </w:pPr>
      <w:r>
        <w:t> </w:t>
      </w:r>
    </w:p>
    <w:tbl>
      <w:tblPr>
        <w:tblW w:w="6890" w:type="dxa"/>
        <w:jc w:val="left"/>
        <w:tblInd w:w="0" w:type="dxa"/>
        <w:tblLayout w:type="fixed"/>
        <w:tblCellMar>
          <w:top w:w="28" w:type="dxa"/>
          <w:left w:w="28" w:type="dxa"/>
          <w:bottom w:w="28" w:type="dxa"/>
          <w:right w:w="28" w:type="dxa"/>
        </w:tblCellMar>
      </w:tblPr>
      <w:tblGrid>
        <w:gridCol w:w="3926"/>
        <w:gridCol w:w="146"/>
        <w:gridCol w:w="307"/>
        <w:gridCol w:w="833"/>
        <w:gridCol w:w="146"/>
        <w:gridCol w:w="146"/>
        <w:gridCol w:w="294"/>
        <w:gridCol w:w="801"/>
        <w:gridCol w:w="291"/>
      </w:tblGrid>
      <w:t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Accrued other and other current liabilities</w:t>
            </w:r>
            <w:r>
              <w:rPr>
                <w:rFonts w:ascii="sans-serif" w:hAnsi="sans-serif"/>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Accrued other and other current liabilities as of September 30, 2026, and December 31, 2025, primarily consist of accrued expenses related to income and other taxes, legal expense, insurance expense and professional fees. Accrued interest, accrued professional fees, accrued warehouse and freight, and other current liabilities have been reclassified into accrued other and other current liabilities to conform the December 31, 2025, presentation to the current year presentation. This reclassification had no effect on total accrued expenses and other current liabilities on the condensed consolidated balance sheet or statement of cash flows.</w:t>
      </w:r>
    </w:p>
    <w:tbl>
      <w:tblPr>
        <w:tblW w:w="10030" w:type="dxa"/>
        <w:jc w:val="left"/>
        <w:tblInd w:w="0" w:type="dxa"/>
        <w:tblLayout w:type="fixed"/>
        <w:tblCellMar>
          <w:top w:w="28" w:type="dxa"/>
          <w:left w:w="28" w:type="dxa"/>
          <w:bottom w:w="28" w:type="dxa"/>
          <w:right w:w="28" w:type="dxa"/>
        </w:tblCellMar>
      </w:tblPr>
      <w:tblGrid>
        <w:gridCol w:w="3901"/>
        <w:gridCol w:w="146"/>
        <w:gridCol w:w="809"/>
        <w:gridCol w:w="2191"/>
        <w:gridCol w:w="146"/>
        <w:gridCol w:w="146"/>
        <w:gridCol w:w="601"/>
        <w:gridCol w:w="1799"/>
        <w:gridCol w:w="291"/>
      </w:tblGrid>
      <w:t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accumulated depreciation, and operating right of use assets, by geographic region (in thousands):</w:t>
      </w:r>
    </w:p>
    <w:tbl>
      <w:tblPr>
        <w:tblW w:w="5230" w:type="dxa"/>
        <w:jc w:val="left"/>
        <w:tblInd w:w="0" w:type="dxa"/>
        <w:tblLayout w:type="fixed"/>
        <w:tblCellMar>
          <w:top w:w="28" w:type="dxa"/>
          <w:left w:w="28" w:type="dxa"/>
          <w:bottom w:w="28" w:type="dxa"/>
          <w:right w:w="28" w:type="dxa"/>
        </w:tblCellMar>
      </w:tblPr>
      <w:tblGrid>
        <w:gridCol w:w="2166"/>
        <w:gridCol w:w="346"/>
        <w:gridCol w:w="307"/>
        <w:gridCol w:w="833"/>
        <w:gridCol w:w="146"/>
        <w:gridCol w:w="146"/>
        <w:gridCol w:w="294"/>
        <w:gridCol w:w="801"/>
        <w:gridCol w:w="191"/>
      </w:tblGrid>
      <w:t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EMEA</w:t>
            </w:r>
            <w:r>
              <w:rPr>
                <w:rFonts w:ascii="sans-serif" w:hAnsi="sans-serif"/>
                <w:color w:val="000000"/>
                <w:sz w:val="15"/>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Americas</w:t>
            </w:r>
            <w:r>
              <w:rPr>
                <w:rFonts w:ascii="sans-serif" w:hAnsi="sans-serif"/>
                <w:color w:val="000000"/>
                <w:sz w:val="15"/>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0"/>
              </w:rPr>
              <w:t>APAC</w:t>
            </w:r>
            <w:r>
              <w:rPr>
                <w:rFonts w:ascii="sans-serif" w:hAnsi="sans-serif"/>
                <w:color w:val="000000"/>
                <w:sz w:val="15"/>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As of September 30, 2026, and December 31, 2025, 15.6% and 18.4% of the Company’s total long-lived assets were located in Israel, respectively.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As of September 30, 2026, and December 31, 2025, 46.9% and 45.1% of the Company’s total long-lived assets were located in the United States, respectively.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As of September 30, 2026, 16.8% and 14.6% of the Company’s total long-lived assets were located in Thailand and China, respectively. As of December 31, 2025, 21.1% and 10.8% of the Company’s total long-lived assets were located in Thailand and China,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31, 2026, the Company entered into a revolving credit facility (the “Credit Facility”) with Wells Fargo Bank, National Association, as lender, pursuant to which the Company may borrow up to $10.0 million, subject to a borrowing base. Tigo Energy MergeCo, Inc., a wholly owned subsidiary of the Company, is the guarantor of the Company’s obligations under the Credit Facility. The Credit Facility matures on March 31, 2029. As of September 30, 2026, the Company had $2.5 million outstanding under the Credit Facility, which is classified as long-term debt on the condensed consolidated balance sheet. The carrying amount of borrowings under the Credit Facility approximates fair value because the interest rate is variable and reflects current market rates, a Level 2 measurement.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Facility bear interest at a rate equal to the secured overnight financing rate, as administered by the Federal Reserve Bank of New York, plus an applicable margin of 1.75% to 2.00%, based on monthly average excess availability. The interest rate for the Credit Facility as of September 30, 2026, was 5.7%. Available borrowings under the Credit Facility may not exceed the borrowing base, which is determined based on specified percentages of eligible accounts receivable and eligible inventory, in each case subject to customary reserves, eligibility criteria and other adjustments. The occurrence of an event of default under the Credit Facility could result in the termination of the commitments under the Credit Facility and the acceleration of all outstanding borrowings under the Credit Facility. The terms of the Credit Facility require the Company to maintain a minimum level of liquidity at all times, which is tested on a monthly basis. As of September 30, 2026, the Company was in compliance with all applicable covenants under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entering into the Credit Facility, the Company incurred debt issuance costs of $0.5 million. As the Credit Facility is a revolving debt arrangement, these costs are presented as an asset in other assets on the condensed consolidated balance sheet, rather than as a direct deduction from the carrying amount of the outstanding borrowings. The deferred costs are amortized on a straight-line basis to interest expense over the term of the Credit Facility, regardless of the amount of borrowings outstanding. As of September 30, 2026, unamortized debt issuance costs of $0.4 million were included in other assets in the condensed consolidated balance sheet.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 and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9, 2023, the Company entered into a convertible promissory note purchase agreement (the “Note Purchase Agreement”) with L1 Energy Capital Management S.a.r.l in exchange for cash of $50.0 million (“Convertible Promissory Notes”). Outstanding borrowings under the Convertible Promissory Notes bore interest at a rate of 5.00% per year. The principal amount was due at the maturity date of January 9, 2026, and interest was payable semiannually beginning in July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2025, the Company extinguished the Convertible Promissory Notes by paying $51.3 million in cash which included principal, accrued interest and fees associated with the extinguishment. The reacquisition price of the debt was higher than the related carrying value at the extinguishment date, therefore resulting in a loss on extinguishment of Convertible Promissory Notes of $1.1 million in the fourth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had no outstanding debt as of December 31, 2025.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Company is subject to litigation, claims and legal disputes, including the matter described below, as well as other matters that have arisen in the ordinary course of business, some of which have not been fully resolved. Some litigation or legal disputes may not be covered by insurance. The Company intends to vigorously defend itself with respect to such disputes. The ultimate outcome of any legal proceeding is uncertain. The Company makes a provision for a liability relating to legal matters when it is both probable that a liability has been incurred and the amount of the loss can be reasonably estimated. During the three and nine months ended September 30, 2026, and 2025, the Company did not record a material loss with respect to any legal claims or other legal matters arising in the ordinary course of business. For matters that are at an early stage, the Company is unable to estimate the reasonably possible loss or range of loss, if any; however, based on information currently available, the Company does not believe that the amount of reasonably possible losses for such matters in excess of amounts accrued would have a material impact on its condensed consolidated financial statements.</w:t>
      </w:r>
    </w:p>
    <w:p>
      <w:pPr>
        <w:pStyle w:val="TextBody"/>
        <w:bidi w:val="0"/>
        <w:spacing w:before="80" w:after="283"/>
        <w:jc w:val="both"/>
        <w:rPr>
          <w:rFonts w:ascii="Times New Roman" w:hAnsi="Times New Roman"/>
          <w:sz w:val="20"/>
        </w:rPr>
      </w:pPr>
      <w:r>
        <w:rPr>
          <w:rFonts w:ascii="Times New Roman" w:hAnsi="Times New Roman"/>
          <w:i/>
          <w:color w:val="000000"/>
          <w:sz w:val="20"/>
        </w:rPr>
        <w:t xml:space="preserve">Shim v. Tigo Energy, Inc., et al., Case No. 5:26-cv-10888 (N.D. Cal.). </w:t>
      </w:r>
      <w:r>
        <w:rPr>
          <w:rFonts w:ascii="Times New Roman" w:hAnsi="Times New Roman"/>
          <w:color w:val="000000"/>
          <w:sz w:val="20"/>
        </w:rPr>
        <w:t>On September 24, 2026, a putative class action lawsuit was filed against the Company and certain officers of the Company in the United States District Court for the Northern District of California. The action was brought on behalf of a putative class of persons or entities who purchased or otherwise acquired Tigo securities between February 24, 2026, and August 4, 2026, inclusive (the putative class period). Plaintiff asserts claims under Section 10(b) of the Exchange Act and Rule 10b-5 promulgated thereunder and Section 20(a) of the Exchange Act, alleging that the defendants made materially false and misleading statements and/or omissions during the alleged putative class period regarding the status and expected financial benefits of a commercial partnership. The case is at the pleading stage, no lead plaintiff or lead counsel has been appointed, and no class has been certified. The Company believes that it has substantial defenses and intends to vigorously defend the matter.</w:t>
      </w:r>
    </w:p>
    <w:p>
      <w:pPr>
        <w:pStyle w:val="TextBody"/>
        <w:bidi w:val="0"/>
        <w:spacing w:before="360" w:after="283"/>
        <w:jc w:val="both"/>
        <w:rPr>
          <w:rFonts w:ascii="Times New Roman" w:hAnsi="Times New Roman"/>
          <w:sz w:val="20"/>
        </w:rPr>
      </w:pPr>
      <w:r>
        <w:rPr>
          <w:rFonts w:ascii="Times New Roman" w:hAnsi="Times New Roman"/>
          <w:i/>
          <w:color w:val="000000"/>
          <w:sz w:val="20"/>
        </w:rPr>
        <w:t>Tariff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20, 2026, the United States Supreme Court ruled in </w:t>
      </w:r>
      <w:r>
        <w:rPr>
          <w:rFonts w:ascii="Times New Roman" w:hAnsi="Times New Roman"/>
          <w:i/>
          <w:color w:val="000000"/>
          <w:sz w:val="20"/>
        </w:rPr>
        <w:t>Learning Resources, Inc. v. Trump</w:t>
      </w:r>
      <w:r>
        <w:rPr>
          <w:rFonts w:ascii="Times New Roman" w:hAnsi="Times New Roman"/>
          <w:color w:val="000000"/>
          <w:sz w:val="20"/>
        </w:rPr>
        <w:t xml:space="preserve"> that certain tariffs imposed under the International Emergency Economic Powers Act (“IEEPA”) were invalid. Following the ruling, the U.S. Court of International Trade directed U.S. Customs and Border Protection (“CBP”) to establish a refund process, and on April 20, 2026, CBP launched an online portal for the submission of IEEPA refund claims. The Company recognizes IEEPA tariff refunds when they are realized or realizable.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September 30, 2026, CBP liquidated entries related to refund claims submitted by the Company. As a result, the Company recognized a receivable of $0.9 million as of September 30, 2026, of which $0.8 million was recognized as a reduction to cost of revenue and $46 thousand was recognized as interest income during the three and nine months ended September 30, 2026. The receivable was collected in October 2026. The Company has submitted additional refund claims, which have not been recognized as of September 30, 2026, as the approval and timing of such refunds remain contingent upon CBP’s review and validation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on February 20, 2026, the President imposed a temporary import surcharge under Section 122 of the Trade Act of 1974 (“Section 122”), which expired on July 24, 2026. On May 7, 2026, the U.S. Court of International Trade held the Section 122 surcharge invalid. The government has appealed, and the Federal Circuit has stayed the ruling pending appeal. No refund process has been established, and the Company has not recognized a receivable for potential Section 122 refunds. Effective July 24, 2026, the Administration imposed tariffs ranging from 10% to 12.5% under Section 301 of the Trade Act of 1974 on imports from 60 economies. It remains uncertain whether additional tariffs or trade restrictions will be imposed, whether such measures will withstand legal challenge, and whether refunds of duties previously paid will be available.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ordinary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the Company believes the likelihood is remote that payments under any indemnification agreements described above will have a material effect on the Company’s condensed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September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and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September 30, 2026, there was no preferred stock outstanding.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pPr>
      <w:r>
        <w:t> </w:t>
      </w:r>
    </w:p>
    <w:tbl>
      <w:tblPr>
        <w:tblW w:w="8748" w:type="dxa"/>
        <w:jc w:val="left"/>
        <w:tblInd w:w="0" w:type="dxa"/>
        <w:tblLayout w:type="fixed"/>
        <w:tblCellMar>
          <w:top w:w="28" w:type="dxa"/>
          <w:left w:w="28" w:type="dxa"/>
          <w:bottom w:w="28" w:type="dxa"/>
          <w:right w:w="28" w:type="dxa"/>
        </w:tblCellMar>
      </w:tblPr>
      <w:tblGrid>
        <w:gridCol w:w="6346"/>
        <w:gridCol w:w="146"/>
        <w:gridCol w:w="242"/>
        <w:gridCol w:w="1723"/>
        <w:gridCol w:w="291"/>
      </w:tblGrid>
      <w:t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6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4,053,555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 unvested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5,631,588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11,397,425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Registered Direct Offering</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February 2026, the Company entered into a Securities Purchase Agreement (the “Purchase Agreement”) with certain institutional investors, pursuant to which the Company issued and sold, in a registered direct offering, an aggregate of 5,000,000 shares of the Company’s common stock at a purchase price of $3.00 per share, for aggregate gross proceeds of $15.0 million (the “Registered Direct Offering”). Craig-Hallum Capital Group LLC acted as placement agent for the Registered Direct Offering. Under the terms of the engagement, the Company agreed to pay the placement agent a cash fee equal to 4.5% of the gross proceeds from the Registered Direct Offering and to reimburse certain legal and other expenses. Net proceeds from the Registered Direct Offering were $14.0 million after deducting the placement agent fee and other expenses related to the Registered Direct Offering. A portion of the placement agent fees was withheld from the gross proceeds at closing, with the remaining offering costs paid separately by the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the Company entered into an At-The-Market Offering Agreement (the “ATM Agreement”) with Craig-Hallum Capital Group LLC (the “Sales Agent”), allowing for the sale of common stock with an aggregate gross offering price of up to $14.2 million (the “2024 ATM Program”). Under the ATM Agreement, the Sales Agent sold shares in an “at-the-market” offering under Rule 415(a)(4) of the Securities Act, including sales on Nasdaq or other trading markets, to or through market makers, directly to the Sales Agent as principal or in negotiated transactions at prevailing market prices. Sales under the 2024 ATM Program were subject to a maximum commission of up to 3.0% of the gross proceeds per share sold through the Sales Agent.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2024 ATM Program, the Company sold 8,325,504 shares of the Company’s common stock for gross proceeds of $14.2 million and net proceeds of $13.8 million, after deducting Sales Agent commissions and other expenses related to the 2024 ATM Program. As of October 2025, the 2024 ATM Program was fully utilized, and there are no additional shares available for issuance under the program. During the three months ended September 30, 2025, the Company sold 6,485,219 shares under the 2024 ATM Program and recognized gross and net proceeds of $10.9 million and $10.7 million, respectively. During the nine months ended September 30, 2025, the Company sold 7,472,428 shares under the 2024 ATM Program for gross proceeds of $12.0 million and net proceeds of $11.7 million, after deducting Sales Agent commissions and other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exercise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(“RSUs”), performance stock units (“PSUs”), dividend equivalents, stock appreciation rights and other stock-based or cash-based awards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The RSUs generally vest over a three-year period, following the date of grant, with a third of the award vesting on each year on the annual anniversary of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For PSUs with performance conditions, fair value is based on the closing market price of the Company’s common stock on the grant date, and compensation expense is recognized over the requisite service period when achievement of the performance goals is considered probable. If the performance goals are not met, no compensation expense is recognized and any previously recognized compensation expense is reversed. For PSUs with a market condition, the Company estimates grant-date fair value using a Monte Carlo simulation model and recognizes compensation expense on a straight-line basis over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requisite service period, regardless of whether the market condition is ultimately satisfied. Compensation expense for these awards is reversed only if the required service is not rendered.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recorded stock-based compensation expense in the following expense categories in its accompanying condensed consolidated statements of operations and comprehensive income (loss):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3620"/>
        <w:gridCol w:w="346"/>
        <w:gridCol w:w="303"/>
        <w:gridCol w:w="822"/>
        <w:gridCol w:w="210"/>
        <w:gridCol w:w="210"/>
        <w:gridCol w:w="303"/>
        <w:gridCol w:w="822"/>
        <w:gridCol w:w="346"/>
        <w:gridCol w:w="346"/>
        <w:gridCol w:w="293"/>
        <w:gridCol w:w="794"/>
        <w:gridCol w:w="203"/>
        <w:gridCol w:w="203"/>
        <w:gridCol w:w="293"/>
        <w:gridCol w:w="794"/>
        <w:gridCol w:w="297"/>
      </w:tblGrid>
      <w:tr>
        <w:tc>
          <w:tcPr>
            <w:tcW w:w="36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c>
          <w:tcPr>
            <w:tcW w:w="36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nine months ended September 30, 2026: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3530"/>
        <w:gridCol w:w="146"/>
        <w:gridCol w:w="146"/>
        <w:gridCol w:w="931"/>
        <w:gridCol w:w="166"/>
        <w:gridCol w:w="146"/>
        <w:gridCol w:w="315"/>
        <w:gridCol w:w="699"/>
        <w:gridCol w:w="146"/>
        <w:gridCol w:w="146"/>
        <w:gridCol w:w="235"/>
        <w:gridCol w:w="755"/>
        <w:gridCol w:w="146"/>
        <w:gridCol w:w="146"/>
        <w:gridCol w:w="751"/>
        <w:gridCol w:w="1505"/>
        <w:gridCol w:w="296"/>
      </w:tblGrid>
      <w:tr>
        <w:tc>
          <w:tcPr>
            <w:tcW w:w="3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c>
          <w:tcPr>
            <w:tcW w:w="353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5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5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2026, the total unrecognized compensation expense related to unvested stock option awards was $2.1 million, which the Company expects to recognize over a weighted-average period of 1.3 years. There were no options granted during the three and nine months ended September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SEC’s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periods prior to Tigo’s common stock becoming publicly traded, the fair value of Legacy Tigo’s common stock used to measure stock-based compensation was estimated by Legacy Tigo’s board of directors with reference to contemporaneous third-party valuations.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Plans for the nine months ended September 30, 2026:</w:t>
      </w:r>
    </w:p>
    <w:tbl>
      <w:tblPr>
        <w:tblW w:w="6972" w:type="dxa"/>
        <w:jc w:val="left"/>
        <w:tblInd w:w="0" w:type="dxa"/>
        <w:tblLayout w:type="fixed"/>
        <w:tblCellMar>
          <w:top w:w="28" w:type="dxa"/>
          <w:left w:w="28" w:type="dxa"/>
          <w:bottom w:w="28" w:type="dxa"/>
          <w:right w:w="28" w:type="dxa"/>
        </w:tblCellMar>
      </w:tblPr>
      <w:tblGrid>
        <w:gridCol w:w="2746"/>
        <w:gridCol w:w="146"/>
        <w:gridCol w:w="146"/>
        <w:gridCol w:w="991"/>
        <w:gridCol w:w="166"/>
        <w:gridCol w:w="146"/>
        <w:gridCol w:w="729"/>
        <w:gridCol w:w="1611"/>
        <w:gridCol w:w="291"/>
      </w:tblGrid>
      <w:t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7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2026, the total unrecognized compensation expense related to unvested RSUs was $4.9 million, which the Company expects to recognize over a weighted-average period of 2.1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sz w:val="20"/>
        </w:rPr>
      </w:pPr>
      <w:r>
        <w:rPr>
          <w:rFonts w:ascii="Times New Roman" w:hAnsi="Times New Roman"/>
          <w:b/>
          <w:i/>
          <w:color w:val="000000"/>
          <w:sz w:val="20"/>
        </w:rPr>
        <w:t>Performance-condition PSUs.</w:t>
      </w:r>
      <w:r>
        <w:rPr>
          <w:rFonts w:ascii="Times New Roman" w:hAnsi="Times New Roman"/>
          <w:color w:val="000000"/>
          <w:sz w:val="20"/>
        </w:rPr>
        <w:t xml:space="preserve"> The PSUs vest over a three-year period, which began on January 1, 2025, with one-third of the award eligible to vest at the end of each fiscal year through December 31, 2027, based on the Company’s level of achievement of certain performance-based criteria tied to annual net revenue and adjusted EBITDA targets. The number of shares may be increased or decreased based on the results of these measurement targets ranging between 0% and 200% in accordance with the terms established at the date of grant. The PSUs were valued using the market value of the Company’s common stock at the closing market price on the grant date.</w:t>
      </w:r>
    </w:p>
    <w:p>
      <w:pPr>
        <w:pStyle w:val="TextBody"/>
        <w:bidi w:val="0"/>
        <w:spacing w:before="0" w:after="240"/>
        <w:jc w:val="both"/>
        <w:rPr>
          <w:rFonts w:ascii="Times New Roman" w:hAnsi="Times New Roman"/>
          <w:sz w:val="20"/>
        </w:rPr>
      </w:pPr>
      <w:r>
        <w:rPr>
          <w:rFonts w:ascii="Times New Roman" w:hAnsi="Times New Roman"/>
          <w:b/>
          <w:i/>
          <w:color w:val="000000"/>
          <w:sz w:val="20"/>
        </w:rPr>
        <w:t xml:space="preserve">Market-condition PSUs. </w:t>
      </w:r>
      <w:r>
        <w:rPr>
          <w:rFonts w:ascii="Times New Roman" w:hAnsi="Times New Roman"/>
          <w:color w:val="000000"/>
          <w:sz w:val="20"/>
        </w:rPr>
        <w:t>On August 7, 2026, the Compensation Committee approved a grant of PSUs (the “2026 TSR PSUs”) to executive officers and certain employees under the 2023 Plan. The number of shares earned is based on the Company’s total shareholder return (“TSR”) relative to a comparator group of 14 companies over a performance period beginning on the grant date and ending on May 25, 2029. Participants may earn between 0% and 200% of the target number of units in accordance with the terms established at the date of grant; however, if the Company’s absolute TSR is negative, the payout may not exceed 100% of target. Earned units vest following the Compensation Committee’s certification of results, subject to continued service through the end of the performance period, and are settled in shares of common stock. The grant-date fair value of the 2026 TSR PSUs was estimated using a Monte Carlo simulation model, which considers the closing price of the Company’s common stock on the grant date and simulates the Company’s and the comparator group’s total shareholder return over the performance period to estimate the probable outcome of the market condition. The key assumptions used were as follows:</w:t>
      </w:r>
    </w:p>
    <w:tbl>
      <w:tblPr>
        <w:tblW w:w="4168" w:type="dxa"/>
        <w:jc w:val="left"/>
        <w:tblInd w:w="0" w:type="dxa"/>
        <w:tblLayout w:type="fixed"/>
        <w:tblCellMar>
          <w:top w:w="28" w:type="dxa"/>
          <w:left w:w="28" w:type="dxa"/>
          <w:bottom w:w="28" w:type="dxa"/>
          <w:right w:w="28" w:type="dxa"/>
        </w:tblCellMar>
      </w:tblPr>
      <w:tblGrid>
        <w:gridCol w:w="2461"/>
        <w:gridCol w:w="146"/>
        <w:gridCol w:w="336"/>
        <w:gridCol w:w="909"/>
        <w:gridCol w:w="316"/>
      </w:tblGrid>
      <w:t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4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TSR PSUs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Grant-date fair value per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PSU activity for the Plans for the nine months ended September 30, 2026:</w:t>
      </w:r>
    </w:p>
    <w:tbl>
      <w:tblPr>
        <w:tblW w:w="9652" w:type="dxa"/>
        <w:jc w:val="left"/>
        <w:tblInd w:w="0" w:type="dxa"/>
        <w:tblLayout w:type="fixed"/>
        <w:tblCellMar>
          <w:top w:w="28" w:type="dxa"/>
          <w:left w:w="28" w:type="dxa"/>
          <w:bottom w:w="28" w:type="dxa"/>
          <w:right w:w="28" w:type="dxa"/>
        </w:tblCellMar>
      </w:tblPr>
      <w:tblGrid>
        <w:gridCol w:w="5486"/>
        <w:gridCol w:w="146"/>
        <w:gridCol w:w="146"/>
        <w:gridCol w:w="931"/>
        <w:gridCol w:w="166"/>
        <w:gridCol w:w="146"/>
        <w:gridCol w:w="729"/>
        <w:gridCol w:w="1611"/>
        <w:gridCol w:w="291"/>
      </w:tblGrid>
      <w:tr>
        <w:tc>
          <w:tcPr>
            <w:tcW w:w="5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54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4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Adjustment to conform prior period presentation to target units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48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4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Vested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left"/>
      </w:pPr>
      <w:r>
        <w:t> </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 xml:space="preserve">As of June 30, 2026, the Company changed its presentation of unvested performance-condition PSUs in the table above from the maximum number of shares issuable under the award agreements to the target number of shares specified in those agreements. This change had no effect on compensation expense recognized, diluted earnings per share or the number of shares reserved for issuance under the Plans. Performance-condition PSUs are presented at the target number of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specified in the award agreements. Compensation expense is recognized based on the number of units deemed probable of vesting, which may differ from the target, maximum or actual number of units ultimately earned upon final certification. As of September 30, 2026, the maximum number of shares that could be earned under outstanding PSU grants was 1,173,365 shares for performance-condition PSUs and 991,200 shares for the 2026 TSR PSUs, or 2,164,565 shares in total.</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the 2026 TSR PSUs granted on August 7, 2026, presented at the target number of units. The grant-date fair value of $1.97 per unit was determined using a Monte Carlo simulation model and reflects the effect of the market condition.</w:t>
      </w:r>
    </w:p>
    <w:p>
      <w:pPr>
        <w:pStyle w:val="TextBody"/>
        <w:bidi w:val="0"/>
        <w:spacing w:lineRule="auto" w:line="360"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 xml:space="preserve">Represents performance-condition PSUs granted for the 2025 performance period for which the Compensation Committee certified achievement of the applicable 2025 net revenue and adjusted EBITDA performance conditions on March 17, 2026. The service condition for this tranche was satisfied and vested as of December 31, 2025, and the common stock associated with the PSUs was issued in March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September 30, 2026, total unrecognized compensation expense related to PSUs with performance conditions that were deemed probable to vest, and to PSUs with market conditions, was $0.9 million, which the Company expects to recognize over a weighted-average period of 2.6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100"/>
        <w:jc w:val="both"/>
        <w:rPr>
          <w:rFonts w:ascii="Times New Roman" w:hAnsi="Times New Roman"/>
          <w:color w:val="000000"/>
          <w:sz w:val="20"/>
        </w:rPr>
      </w:pPr>
      <w:r>
        <w:rPr>
          <w:rFonts w:ascii="Times New Roman" w:hAnsi="Times New Roman"/>
          <w:color w:val="000000"/>
          <w:sz w:val="20"/>
        </w:rPr>
        <w:t>In March 2026, the Company’s Board of Directors adopted the Tigo Energy, Inc. Employee Stock Purchase Plan (the “ESPP”), and the Company’s stockholders approved the ESPP on May 19, 2026. The ESPP authorizes the issuance of up to 1,000,000 shares of common stock.</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As of September 30, 2026, the Company had not commenced any offering periods under the ESPP and no shares had been purchased or issued pursuant to the ESPP. Accordingly, no stock-based compensation expense related to the ESPP was recognized during the three and nine months ended September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the Philippines and Thailand. All of the Company’s leases are classified as operating leases. The Company has no leases classified as finance or sales-type leases. For leases with terms greater than 12 months, the Company records the related assets and obligations at the present value of lease payments over the term. Many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less than one year to six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pPr>
      <w:r>
        <w:t> </w:t>
      </w:r>
    </w:p>
    <w:tbl>
      <w:tblPr>
        <w:tblW w:w="8238" w:type="dxa"/>
        <w:jc w:val="left"/>
        <w:tblInd w:w="0" w:type="dxa"/>
        <w:tblLayout w:type="fixed"/>
        <w:tblCellMar>
          <w:top w:w="28" w:type="dxa"/>
          <w:left w:w="28" w:type="dxa"/>
          <w:bottom w:w="28" w:type="dxa"/>
          <w:right w:w="28" w:type="dxa"/>
        </w:tblCellMar>
      </w:tblPr>
      <w:tblGrid>
        <w:gridCol w:w="2031"/>
        <w:gridCol w:w="346"/>
        <w:gridCol w:w="364"/>
        <w:gridCol w:w="726"/>
        <w:gridCol w:w="252"/>
        <w:gridCol w:w="252"/>
        <w:gridCol w:w="364"/>
        <w:gridCol w:w="726"/>
        <w:gridCol w:w="146"/>
        <w:gridCol w:w="146"/>
        <w:gridCol w:w="321"/>
        <w:gridCol w:w="640"/>
        <w:gridCol w:w="222"/>
        <w:gridCol w:w="222"/>
        <w:gridCol w:w="321"/>
        <w:gridCol w:w="868"/>
        <w:gridCol w:w="291"/>
      </w:tblGrid>
      <w:t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0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pPr>
      <w:r>
        <w:t> </w:t>
      </w:r>
    </w:p>
    <w:tbl>
      <w:tblPr>
        <w:tblW w:w="9952" w:type="dxa"/>
        <w:jc w:val="left"/>
        <w:tblInd w:w="0" w:type="dxa"/>
        <w:tblLayout w:type="fixed"/>
        <w:tblCellMar>
          <w:top w:w="28" w:type="dxa"/>
          <w:left w:w="28" w:type="dxa"/>
          <w:bottom w:w="28" w:type="dxa"/>
          <w:right w:w="28" w:type="dxa"/>
        </w:tblCellMar>
      </w:tblPr>
      <w:tblGrid>
        <w:gridCol w:w="7021"/>
        <w:gridCol w:w="146"/>
        <w:gridCol w:w="321"/>
        <w:gridCol w:w="640"/>
        <w:gridCol w:w="222"/>
        <w:gridCol w:w="222"/>
        <w:gridCol w:w="321"/>
        <w:gridCol w:w="868"/>
        <w:gridCol w:w="191"/>
      </w:tblGrid>
      <w:t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70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7840" w:type="dxa"/>
        <w:jc w:val="left"/>
        <w:tblInd w:w="0" w:type="dxa"/>
        <w:tblLayout w:type="fixed"/>
        <w:tblCellMar>
          <w:top w:w="28" w:type="dxa"/>
          <w:left w:w="28" w:type="dxa"/>
          <w:bottom w:w="28" w:type="dxa"/>
          <w:right w:w="28" w:type="dxa"/>
        </w:tblCellMar>
      </w:tblPr>
      <w:tblGrid>
        <w:gridCol w:w="3916"/>
        <w:gridCol w:w="146"/>
        <w:gridCol w:w="443"/>
        <w:gridCol w:w="1102"/>
        <w:gridCol w:w="271"/>
        <w:gridCol w:w="146"/>
        <w:gridCol w:w="430"/>
        <w:gridCol w:w="1070"/>
        <w:gridCol w:w="316"/>
      </w:tblGrid>
      <w:t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September 30, 2026:</w:t>
      </w:r>
    </w:p>
    <w:p>
      <w:pPr>
        <w:pStyle w:val="TextBody"/>
        <w:bidi w:val="0"/>
        <w:jc w:val="both"/>
      </w:pPr>
      <w:r>
        <w:t> </w:t>
      </w:r>
    </w:p>
    <w:tbl>
      <w:tblPr>
        <w:tblW w:w="4983" w:type="dxa"/>
        <w:jc w:val="left"/>
        <w:tblInd w:w="0" w:type="dxa"/>
        <w:tblLayout w:type="fixed"/>
        <w:tblCellMar>
          <w:top w:w="28" w:type="dxa"/>
          <w:left w:w="28" w:type="dxa"/>
          <w:bottom w:w="28" w:type="dxa"/>
          <w:right w:w="28" w:type="dxa"/>
        </w:tblCellMar>
      </w:tblPr>
      <w:tblGrid>
        <w:gridCol w:w="3181"/>
        <w:gridCol w:w="146"/>
        <w:gridCol w:w="367"/>
        <w:gridCol w:w="998"/>
        <w:gridCol w:w="291"/>
      </w:tblGrid>
      <w:t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pPr>
            <w:r>
              <w:t> </w:t>
            </w:r>
          </w:p>
        </w:tc>
      </w:tr>
      <w:t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2026, and December 31, 2025, the Company had a goodwill balance of $12.2 million. The goodwill balance is related to the acquisition of Tigo Energy AI Ltd (f/k/a Foresight Energy, Ltd. (“fSight”)).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803"/>
        <w:gridCol w:w="146"/>
        <w:gridCol w:w="2504"/>
        <w:gridCol w:w="146"/>
        <w:gridCol w:w="211"/>
        <w:gridCol w:w="571"/>
        <w:gridCol w:w="146"/>
        <w:gridCol w:w="146"/>
        <w:gridCol w:w="549"/>
        <w:gridCol w:w="1256"/>
        <w:gridCol w:w="166"/>
        <w:gridCol w:w="146"/>
        <w:gridCol w:w="302"/>
        <w:gridCol w:w="818"/>
        <w:gridCol w:w="295"/>
      </w:tblGrid>
      <w:tr>
        <w:tc>
          <w:tcPr>
            <w:tcW w:w="2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c>
          <w:tcPr>
            <w:tcW w:w="28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6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803"/>
        <w:gridCol w:w="146"/>
        <w:gridCol w:w="2504"/>
        <w:gridCol w:w="146"/>
        <w:gridCol w:w="211"/>
        <w:gridCol w:w="571"/>
        <w:gridCol w:w="146"/>
        <w:gridCol w:w="146"/>
        <w:gridCol w:w="549"/>
        <w:gridCol w:w="1256"/>
        <w:gridCol w:w="166"/>
        <w:gridCol w:w="146"/>
        <w:gridCol w:w="302"/>
        <w:gridCol w:w="818"/>
        <w:gridCol w:w="295"/>
      </w:tblGrid>
      <w:tr>
        <w:tc>
          <w:tcPr>
            <w:tcW w:w="2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c>
          <w:tcPr>
            <w:tcW w:w="28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6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8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$0.1 million and $0.2 million for the three and nine months ended September 30, 2026, respectively. The Company recognized amortization expense related to intangible assets of $0.1 million and $0.2 million for the three and nine months ended September 30, 2025, respectively.</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As of September 30, 2026, estimated future amortization expense related to intangible assets is as follows:</w:t>
      </w:r>
    </w:p>
    <w:tbl>
      <w:tblPr>
        <w:tblW w:w="3000" w:type="dxa"/>
        <w:jc w:val="left"/>
        <w:tblInd w:w="0" w:type="dxa"/>
        <w:tblLayout w:type="fixed"/>
        <w:tblCellMar>
          <w:top w:w="28" w:type="dxa"/>
          <w:left w:w="28" w:type="dxa"/>
          <w:bottom w:w="28" w:type="dxa"/>
          <w:right w:w="28" w:type="dxa"/>
        </w:tblCellMar>
      </w:tblPr>
      <w:tblGrid>
        <w:gridCol w:w="1781"/>
        <w:gridCol w:w="146"/>
        <w:gridCol w:w="211"/>
        <w:gridCol w:w="571"/>
        <w:gridCol w:w="291"/>
      </w:tblGrid>
      <w:t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pPr>
            <w:r>
              <w:t> </w:t>
            </w:r>
          </w:p>
        </w:tc>
      </w:tr>
      <w:tr>
        <w:tc>
          <w:tcPr>
            <w:tcW w:w="17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As of each reporting date, management considers new evidence, both positive and negative, that could affect its view of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pPr>
      <w: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realization of deferred tax assets. As of June 30, 2026, the Company determined there is sufficient positive evidence that it is more likely than not that the net deferred tax assets of Tigo Energy AI Ltd., an Israeli subsidiary, will be realized, and accordingly released the full valuation allowance previously recorded against those assets. This release was driven by a change to the Company’s intercompany operating model that provides the subsidiary a consistent operating margin, and therefore consistent future taxable income, regardless of the Company’s consolidated results.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recorded an income tax benefit of $0.3 million and $3.7 million for the three and nine months ended September 30, 2026, respectively. The income tax benefits for the three and nine months ended September 30, 2026, were primarily related to the release of the valuation allowance discussed above, and to the application of the Company’s estimated annual effective tax rate to losses at its foreign subsidiaries.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 recorded a discrete tax expense for the three and nine months ended September 30, 2025, of $0.2 million and $0.7 million, respectively. The discrete tax expense recorded during the three and nine months ended September 30, 2025, included a $0.3 million related to the settlement of a foreign tax examination. During the nine months ended September 30, 2025, the Italian tax authority initiated a tax examination of the Company’s Italian operations. As of September 30, 2025, the tax examination was closed and the settlement liability was approximately $0.3 million.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Company’s effective tax rates for the three and nine months ended September 30, 2026, and 2025, differ from the federal statutory rate of 21% principally as a result of the above-mentioned release of the valuation allowance in the three and nine months ended September 30, 2026, compared with the valuation allowances maintained against the Company’s deferred tax assets in the three and nine months ended September 30,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Patent 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16, 2025 (the “Initial Closing Date”), the Company entered into a patent purchase agreement with Tigo Energy Innovations LLC (the “Purchaser”), an unaffiliated third party, pursuant to which the Company sold certain patents (the “Assigned Patents”). In connection with the transaction, the Company received a non-exclusive grant-back license to practice the Assigned Patents in connection with the Company’s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consideration consisted of $15.0 million, which was paid upon the Initial Closing Date of the patent purchase agreement. An additional holdback was payable after the Initial Closing Date, which was contingent on the Company satisfying certain conditions. On May 14, 2026, the Company satisfied the conditions specified in the patent purchase agreement and received a payment of $2.8 million. Net proceeds to the Company from the holdback payment were $0.4 million, net of transaction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accounted for the sale of the Assigned Patents as a sale of nonfinancial assets under ASC Topic 610-20, “Other Income — Gains and Losses from the Derecognition of Nonfinancial Assets” (“ASC Topic 610-20”). The patents transferred under the patent purchase agreement were not recognized as separate intangible assets as the Company retains perpetual, royalty-free, non-exclusive rights to continue using the underlying technology. As a result, no intangible assets were derecognized, and the Company’s developed technology and patent intangible assets will continue to be amortized over their originally established useful lives. At the Initial Closing Date, the Company recognized a gain of $14.6 million, which is the consideration paid at the Initial Closing Date, net of transaction costs. The Company recognized a gain of $0.4 million during the nine months ended September 30, 2026, in connection with receipt of this holdback payment, which is included in gain on sale of intangible assets in the condensed consolidated statements of operations and comprehensive income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seller-retained royalties under the patent purchase agreement, which entitle the Company to receive up to $5.0 million of future license proceeds, represent contingent income and will be recognized in other income, net in the condensed consolidated statements of operations and comprehensive income (loss) only when realized. As of September 30, 2026, the Company had collected $0.8 million in seller-retained royalties.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condensed consolidated financial statements were issued. Based upon this review, except as described below, the Company did not identify any subsequent events that would have required adjustment or disclosure in the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2026, the Company collected the $0.9 million IEEPA tariff refund receivable recognized as of September 30, 2026. See Note 8, “Commitments and Contingencies,” for additional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2025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2025 Annual Report. Additionally, our historical results are not necessarily indicative of the results that may be expected for any period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 xml:space="preserve">Recent Developments </w:t>
      </w:r>
    </w:p>
    <w:p>
      <w:pPr>
        <w:pStyle w:val="TextBody"/>
        <w:bidi w:val="0"/>
        <w:jc w:val="both"/>
        <w:rPr>
          <w:rFonts w:ascii="Times New Roman" w:hAnsi="Times New Roman"/>
          <w:sz w:val="20"/>
        </w:rPr>
      </w:pPr>
      <w:r>
        <w:rPr>
          <w:rFonts w:ascii="Times New Roman" w:hAnsi="Times New Roman"/>
          <w:b/>
          <w:i/>
          <w:color w:val="000000"/>
          <w:sz w:val="20"/>
        </w:rPr>
        <w:t xml:space="preserve">Registered Direct Offering. </w:t>
      </w:r>
      <w:r>
        <w:rPr>
          <w:rFonts w:ascii="Times New Roman" w:hAnsi="Times New Roman"/>
          <w:color w:val="000000"/>
          <w:sz w:val="20"/>
        </w:rPr>
        <w:t>On February 24, 2026, we completed a registered direct offering (“Registered Direct Offering”) of 5,000,000 shares of our common stock to certain institutional investors for gross proceeds of $15.0 million. After deducting the placement agent fee and other offering expenses, net proceeds were approximately $14.0 million. For more information, see Note 9, “Common and Preferred Stock”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On March 31, 2026, we entered into a revolving credit facility (“Credit Facility”) with Wells Fargo Bank, National Association that provides for up to $10.0 million of borrowing capacity, subject to a borrowing base based on eligible accounts receivable and eligible inventory. The Credit Facility matures on March 31, 2029. As of September 30, 2026, $2.5 million was outstanding under the Credit Facility, and we were in compliance with all applicable covenants. For more information, see Note 7, “Debt”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Patent Sale. </w:t>
      </w:r>
      <w:r>
        <w:rPr>
          <w:rFonts w:ascii="Times New Roman" w:hAnsi="Times New Roman"/>
          <w:color w:val="000000"/>
          <w:sz w:val="20"/>
        </w:rPr>
        <w:t>As disclosed in the Company’s 2025 Annual Report, on December 16, 2025, we entered into a patent purchase agreement involving the sale of certain patent rights. We received $15.0 million at the initial closing. On May 14, 2026, we satisfied the specified conditions required to release the holdback payment and received additional consideration of $2.8 million, for total consideration received under the patent purchase agreement of $17.8 million. Net proceeds from the holdback payment were approximately $0.4 million after the repayment of expenses. We recognized a gain of approximately $0.4 million during the nine months ended September 30, 2026. Additionally, seller-retained royalties under the patent purchase agreement, which entitle us to receive up to $5.0 million of future license proceeds, represent contingent income and will be recognized in other income, net when and if earned. As of September 30, 2026, we had collected $0.8 million in seller-retained royalties. For more information, see Note 14, “Patent Sale”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Trade Tariffs</w:t>
      </w:r>
      <w:r>
        <w:rPr>
          <w:rFonts w:ascii="Times New Roman" w:hAnsi="Times New Roman"/>
          <w:i/>
          <w:color w:val="000000"/>
          <w:sz w:val="20"/>
        </w:rPr>
        <w:t xml:space="preserve">. </w:t>
      </w:r>
      <w:r>
        <w:rPr>
          <w:rFonts w:ascii="Times New Roman" w:hAnsi="Times New Roman"/>
          <w:color w:val="000000"/>
          <w:sz w:val="20"/>
        </w:rPr>
        <w:t>It is uncertain what impact new or existing tariffs, trade restrictions or retaliatory actions may have on us, the solar industry and our customers. U.S. net revenue represented 16.7% of our total net revenue for the nine months ended September 30, 2026. Substantially all of our MLPE products, which represented 71.6% of U.S. net revenues during the nine months ended September 30, 2026, were manufactured in Thailand. Our GO Energy Storage Systems (“GO ESS”) products represented 27.1% of U.S. net revenues during the nine months ended September 30, 2026. Beginning in October 2025, we transitioned production of our GO ESS products for the U.S. market from China to Vietnam. As of September 30, 2026, we were subject to tariffs on all products imported into the United States from the countries in which we manufacture our products. During the three months ended September 30, 2026, we incurred $0.4 million in tariff-related costs, compared to $0.7 million during the same period in 2025. During the nine months ended September 30, 2026, we incurred $1.9 million in tariff-related costs, compared to $1.0 million during the same period in 2025. These amounts exclude the effect of the IEEPA tariff refunds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20, 2026, the United States Supreme Court issued a decision invalidating certain tariffs previously imposed under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International Emergency Economic Powers Act (“IEEPA”). On April 20, 2026, U.S. Customs and Border Protection (“CBP”) launched an online portal through which companies may submit refund requests for eligible IEEPA tariffs. During the three months ended September 30, 2026, the CBP approved certain entries we had submitted for IEEPA refund claims for which we recognized a receivable of $0.9 million for the related refunds and interest, of which $0.8 million was recognized as a reduction to cost of revenue and $46 thousand was recognized as interest income. We collected the receivable in October 2026. As of September 30, 2026, we had submitted additional refund claims for tariffs previously paid. Because the approval and timing of such refunds remain contingent upon CBP’s review and liquidation of the related entries, we have not recognized these amounts as of September 30, 2026, and will not recognize them until they are realized or realizable.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Supreme Court’s decision, a temporary import surcharge under Section 122 of the Trade Act of 1974 (“Section 122”) was in effect from February 24, 2026, until its expiration on July 24, 2026. The legality of the Section 122 surcharge remains subject to appeal, no refund process has been established, and we have not recognized a receivable for any potential Section 122 refunds. Effective July 24, 2026, tariffs of 10% to 12.5% were imposed under Section 301 of the Trade Act of 1974 on imports from 60 economies, including a 12.5% tariff on imports from Thailand and Vietnam.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w:t>
      </w:r>
    </w:p>
    <w:p>
      <w:pPr>
        <w:pStyle w:val="TextBody"/>
        <w:bidi w:val="0"/>
        <w:spacing w:before="80" w:after="283"/>
        <w:jc w:val="both"/>
        <w:rPr>
          <w:rFonts w:ascii="Times New Roman" w:hAnsi="Times New Roman"/>
          <w:sz w:val="20"/>
        </w:rPr>
      </w:pPr>
      <w:r>
        <w:rPr>
          <w:rFonts w:ascii="Times New Roman" w:hAnsi="Times New Roman"/>
          <w:b/>
          <w:i/>
          <w:color w:val="000000"/>
          <w:sz w:val="20"/>
        </w:rPr>
        <w:t>Managing Supply Chain</w:t>
      </w:r>
      <w:r>
        <w:rPr>
          <w:rFonts w:ascii="Times New Roman" w:hAnsi="Times New Roman"/>
          <w:b/>
          <w:color w:val="000000"/>
          <w:sz w:val="20"/>
        </w:rPr>
        <w:t>.</w:t>
      </w:r>
      <w:r>
        <w:rPr>
          <w:rFonts w:ascii="Times New Roman" w:hAnsi="Times New Roman"/>
          <w:color w:val="000000"/>
          <w:sz w:val="20"/>
        </w:rPr>
        <w:t xml:space="preserve"> We rely on contract manufacturers and suppliers to produce our components, with a significant portion of our supply chain originating in Thailand and China. In October 2025, we began manufacturing a mix of our GO ESS products in Vietnam. Our ability to grow depends, in part, on the ability of our contract manufacturers and suppliers to provide high-quality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pStyle w:val="TextBody"/>
        <w:bidi w:val="0"/>
        <w:spacing w:before="240" w:after="180"/>
        <w:jc w:val="both"/>
        <w:rPr>
          <w:rFonts w:ascii="Times New Roman" w:hAnsi="Times New Roman"/>
          <w:sz w:val="20"/>
        </w:rPr>
      </w:pPr>
      <w:r>
        <w:rPr>
          <w:rFonts w:ascii="Times New Roman" w:hAnsi="Times New Roman"/>
          <w:b/>
          <w:i/>
          <w:color w:val="000000"/>
          <w:sz w:val="20"/>
        </w:rPr>
        <w:t>One Big Beautiful Bill Act of 2025.</w:t>
      </w:r>
      <w:r>
        <w:rPr>
          <w:rFonts w:ascii="Times New Roman" w:hAnsi="Times New Roman"/>
          <w:color w:val="000000"/>
          <w:sz w:val="20"/>
        </w:rPr>
        <w:t xml:space="preserve"> In July 2025, the One Big Beautiful Bill Act of 2025 (the “OBBB”) was enacted and implemented material changes to certain federal clean energy tax credit programs that are important to our business and could affect our financial condition, results of operations, and future prospects. Among other changes, the OBBB reduced the Investment Tax Credit (the “ITC”) under Section 25D of the Internal Revenue Code of 1986, as amended (the “Code”), for residential solar and storage systems purchased through cash or loans. Under the OBBB, the Section 25D credit expired on December 31, 2025.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OBBB also established new timing requirements for eligibility under Section 48E of the Code, which governs ITCs for leased solar and storage systems. In particular, solar-only projects that do not commence construction within 12 months of the OBBB’s enactment must be placed in service by December 31, 2027, to remain eligible for the credit. Energy storage projects are not subject to this placed-in-service deadline; however, the ITC for storage systems is scheduled to begin phasing down in 2034, decreasing to 75% in 2034 and 50% in 2035, and phasing out entirely by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OBBB amended the domestic content bonus credit requirements for Section 48E projects. Projects that commence construction after June 16, 2025, must satisfy a 45% domestic cost threshold, increased from 40%. The OBBB further introduced new compliance requirements under the Foreign Entity of Concern (“FEOC”) provisions applicable to both Section 48E and the Advanced Manufacturing Production Tax Credit (“AMPTC”) under Section 45X of the Code. These provisions require an increasing level of non-FEOC content for solar and storage projects beginning construction in 2026 and for manufactured components produced beginning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7, 2025, the President issued an Executive Order directing the Secretary of the Treasury to issue updated guidance within 45 days regarding the “beginning of construction” requirements applicable to Section 48E projects. In August 2025, the U.S. Department of the Treasury and the IRS issued revised “beginning of construction” guidance for clean energy tax credits that applies only to projects above 1MW. The Executive Order also directs the Secretary to implement the FEOC restrictions set forth in the OBBB. Under the new FEOC rules, a U.S. energy project can only receive specific tax credits if the project’s equipment from certain FEOC-related entities does not exceed set amounts, and the rules disqualify other credits from applying to US-made products that contain too many inputs from certain FEOC-related entities. The rules also prevent a company from receiving specific tax credits if it relies too much on investment or material assistance from certain FEOC-related entities, including in circumstances where a contract, license, or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arrangement gives an FEOC-related entity effective control over the Company or its projects or products. In February 2026, the U.S. Department of the Treasury and the IRS issued guidance applicable to Sections 48E and 45X of the Code, including rules and interim safe harbors for determining whether projects or manufactured components receive material assistance from prohibited foreign entities. Additional FEOC guidance remains forthcoming and is expected to be finalized in 2026, which could further tighten existing requirements.</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These legislative and regulatory developments have affected, and could in the future adversely affect, our eligibility for certain tax credits, the attractiveness of our offerings to solar and storage system lease providers, and overall demand for our products. If we are unable to satisfy the revised domestic content or FEOC requirements, our ability to qualify for these incentives could be impaired, which could adversely affect our revenue, gross margins, business operations, and competitive position. </w:t>
      </w:r>
    </w:p>
    <w:p>
      <w:pPr>
        <w:pStyle w:val="TextBody"/>
        <w:bidi w:val="0"/>
        <w:spacing w:before="60" w:after="180"/>
        <w:jc w:val="both"/>
        <w:rPr>
          <w:rFonts w:ascii="Times New Roman" w:hAnsi="Times New Roman"/>
          <w:sz w:val="20"/>
        </w:rPr>
      </w:pPr>
      <w:r>
        <w:rPr>
          <w:rFonts w:ascii="Times New Roman" w:hAnsi="Times New Roman"/>
          <w:b/>
          <w:i/>
          <w:color w:val="000000"/>
          <w:sz w:val="20"/>
        </w:rPr>
        <w:t xml:space="preserve">Section 45X Manufacturing Tax Credit Arrangement. </w:t>
      </w:r>
      <w:r>
        <w:rPr>
          <w:rFonts w:ascii="Times New Roman" w:hAnsi="Times New Roman"/>
          <w:color w:val="000000"/>
          <w:sz w:val="20"/>
        </w:rPr>
        <w:t>On December 18, 2025, we entered into an Amended and Restated Manufacturing and Supply Agreement with EG4 Electronics LLC (“EG4”). The amended agreement clarifies that EG4, rather than the Company, is expected to be the claimant of any available AMPTC under Section 45X of the Code associated with qualifying optimized inverter products manufactured using certain Tigo components. Under the amended agreement, if EG4 qualifies for, receives and monetizes such AMPTC, we may be entitled to receive an agreed-upon amount, net of applicable tax credit selling expenses, subject to the terms and conditions of the amended agreement.</w:t>
      </w:r>
    </w:p>
    <w:p>
      <w:pPr>
        <w:pStyle w:val="TextBody"/>
        <w:bidi w:val="0"/>
        <w:spacing w:before="60" w:after="160"/>
        <w:jc w:val="both"/>
        <w:rPr>
          <w:rFonts w:ascii="Times New Roman" w:hAnsi="Times New Roman"/>
          <w:color w:val="000000"/>
          <w:sz w:val="20"/>
        </w:rPr>
      </w:pPr>
      <w:r>
        <w:rPr>
          <w:rFonts w:ascii="Times New Roman" w:hAnsi="Times New Roman"/>
          <w:color w:val="000000"/>
          <w:sz w:val="20"/>
        </w:rPr>
        <w:t>Production activities commenced in 2026 through a U.S.-based contract manufacturer for certain components used in products supplied under the EG4 arrangement, and we recognized net revenue of $0.8 million and $1.9 million from shipments to EG4 for the three and nine months ended September 30, 2026, respectively. Delays in EG4’s go-to-market launch of its optimized inverter products have resulted in a slower ramp of shipments under the arrangement. Because EG4, rather than the Company, is expected to claim any available AMPTC, the timing of any amounts we may receive under the amended agreement depends in part on the timing of EG4’s launch and is uncertain. During the nine months ended September 30, 2026, we did not recognize any benefit related to the AMPTC under Section 45X of the Code. There can be no assurance that EG4 will qualify for, receive, monetize or retain any AMPTC, that any products manufactured using our components will satisfy applicable requirements, or that we will receive any amounts under the amended agreement, including as to the timing or amount of any such payments. Changes in the law, additional guidance, FEOC-related restrictions, sourcing requirements, documentation requirements or interpretations of Section 45X of the Code could affect the expected economics of our agreement with EG4, our sourcing strategy and our customers’ eligibility for tax credits, which may affect their purchasing decisions and demand for our products.</w:t>
      </w:r>
    </w:p>
    <w:p>
      <w:pPr>
        <w:pStyle w:val="TextBody"/>
        <w:bidi w:val="0"/>
        <w:spacing w:before="80" w:after="160"/>
        <w:jc w:val="both"/>
        <w:rPr>
          <w:rFonts w:ascii="Times New Roman" w:hAnsi="Times New Roman"/>
          <w:sz w:val="20"/>
        </w:rPr>
      </w:pPr>
      <w:r>
        <w:rPr>
          <w:rFonts w:ascii="Times New Roman" w:hAnsi="Times New Roman"/>
          <w:b/>
          <w:i/>
          <w:color w:val="000000"/>
          <w:sz w:val="20"/>
        </w:rPr>
        <w:t>Macroeconomic and Market Conditions.</w:t>
      </w:r>
      <w:r>
        <w:rPr>
          <w:rFonts w:ascii="Times New Roman" w:hAnsi="Times New Roman"/>
          <w:color w:val="000000"/>
          <w:sz w:val="20"/>
        </w:rPr>
        <w:t xml:space="preserve"> The global macroeconomic and market uncertainty has adversely impacted the U.S. and global economies and may continue to do so. As our global footprint expands, we are increasingly exposed to the effects of this evolving environment, including inflation and input-cost pressures, interest rate levels and volatility, tariffs and changes in trade policy, foreign currency fluctuations, potential economic slowdowns or recessions, geopolitical tensions and regulatory changes stemming from current and future trade policies. A tighter credit environment could adversely affect installer and end-customer demand, increase price sensitivity and lead to greater price competition for our products. In addition, several European countries, including Germany, Belgium, Italy, the Netherlands and the United Kingdom, have adopted reductions in or ended their net energy metering tariffs or feed-in tariff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80" w:after="283"/>
        <w:jc w:val="both"/>
        <w:rPr>
          <w:rFonts w:ascii="Times New Roman" w:hAnsi="Times New Roman"/>
          <w:sz w:val="20"/>
        </w:rPr>
      </w:pPr>
      <w:r>
        <w:rPr>
          <w:rFonts w:ascii="Times New Roman" w:hAnsi="Times New Roman"/>
          <w:b/>
          <w:i/>
          <w:color w:val="000000"/>
          <w:sz w:val="20"/>
        </w:rPr>
        <w:t>Expansion of Sales, Customers and Product Offerings.</w:t>
      </w:r>
      <w:r>
        <w:rPr>
          <w:rFonts w:ascii="Times New Roman" w:hAnsi="Times New Roman"/>
          <w:color w:val="000000"/>
          <w:sz w:val="20"/>
        </w:rPr>
        <w:t xml:space="preserve"> Our ability to grow revenue, in part, depends on expanding both our product and service offerings and our customer base. We primarily acquire new customers through collaboration with industry partners and distributors, and while we expect near-term revenue to remain concentrated among existing customers, we plan to expand our presence in the residential markets in the U.S. and EMEA. While the majority of our North American revenue is currently generated from commercial and industrial markets, we are actively working to grow our presence in the U.S. residential market through offerings with residential solar providers. Internationally, we continue to evaluate and invest in new market opportunities, particularly in the EMEA region, where we offer our residential solutions in Italy and Germany, and in October 2026, we announced plans to expand our GO ESS offering to the Czech Republic.</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Additionally, we have made, and plan to continue to make, substantial investments in research and development initiatives to support new product introductions. Although a significant portion of our revenue is derived from our MLPE products, we are continuing to develop and promote additional offerings such as our GO ESS product line and Predict+ service, which we believe will help contribute to long-term revenue growth. We believe that our entry into new markets will facilitate revenue growth and customer diversification; however, we cannot assure you that we will be able to enter into new markets or expand our product offerings in new and existing markets on the timelines that we expect or at all due to the risks and uncertainties related to such expansion discussed in Part I, Item 1A, “Risk Factors” in our 2025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Key Operating and Financial Metrics</w:t>
      </w:r>
    </w:p>
    <w:p>
      <w:pPr>
        <w:pStyle w:val="TextBody"/>
        <w:bidi w:val="0"/>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pPr>
      <w:r>
        <w:t> </w:t>
      </w:r>
    </w:p>
    <w:tbl>
      <w:tblPr>
        <w:tblW w:w="8689" w:type="dxa"/>
        <w:jc w:val="left"/>
        <w:tblInd w:w="0" w:type="dxa"/>
        <w:tblLayout w:type="fixed"/>
        <w:tblCellMar>
          <w:top w:w="28" w:type="dxa"/>
          <w:left w:w="28" w:type="dxa"/>
          <w:bottom w:w="28" w:type="dxa"/>
          <w:right w:w="28" w:type="dxa"/>
        </w:tblCellMar>
      </w:tblPr>
      <w:tblGrid>
        <w:gridCol w:w="2596"/>
        <w:gridCol w:w="146"/>
        <w:gridCol w:w="265"/>
        <w:gridCol w:w="814"/>
        <w:gridCol w:w="326"/>
        <w:gridCol w:w="197"/>
        <w:gridCol w:w="265"/>
        <w:gridCol w:w="814"/>
        <w:gridCol w:w="241"/>
        <w:gridCol w:w="146"/>
        <w:gridCol w:w="249"/>
        <w:gridCol w:w="764"/>
        <w:gridCol w:w="306"/>
        <w:gridCol w:w="185"/>
        <w:gridCol w:w="249"/>
        <w:gridCol w:w="840"/>
        <w:gridCol w:w="286"/>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24,039</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74,642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net revenue. Gross profit and margin can be used to understand our financial performance and efficiency and allow investors to evaluate our pricing strategy and compare it against competitors. We use these metrics to make strategic decisions identifying areas for improvement, set targets for future performance and make informed decisions about how to allocate resources going forward.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Key Components and Comparison of Results of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Revenue</w:t>
      </w:r>
    </w:p>
    <w:p>
      <w:pPr>
        <w:pStyle w:val="Heading2"/>
        <w:bidi w:val="0"/>
        <w:jc w:val="left"/>
      </w:pPr>
      <w:r>
        <w:t> </w:t>
      </w:r>
    </w:p>
    <w:tbl>
      <w:tblPr>
        <w:tblW w:w="10205" w:type="dxa"/>
        <w:jc w:val="left"/>
        <w:tblInd w:w="0" w:type="dxa"/>
        <w:tblLayout w:type="fixed"/>
        <w:tblCellMar>
          <w:top w:w="28" w:type="dxa"/>
          <w:left w:w="28" w:type="dxa"/>
          <w:bottom w:w="28" w:type="dxa"/>
          <w:right w:w="28" w:type="dxa"/>
        </w:tblCellMar>
      </w:tblPr>
      <w:tblGrid>
        <w:gridCol w:w="1816"/>
        <w:gridCol w:w="146"/>
        <w:gridCol w:w="196"/>
        <w:gridCol w:w="601"/>
        <w:gridCol w:w="146"/>
        <w:gridCol w:w="146"/>
        <w:gridCol w:w="196"/>
        <w:gridCol w:w="601"/>
        <w:gridCol w:w="146"/>
        <w:gridCol w:w="146"/>
        <w:gridCol w:w="196"/>
        <w:gridCol w:w="571"/>
        <w:gridCol w:w="166"/>
        <w:gridCol w:w="146"/>
        <w:gridCol w:w="146"/>
        <w:gridCol w:w="481"/>
        <w:gridCol w:w="272"/>
        <w:gridCol w:w="146"/>
        <w:gridCol w:w="196"/>
        <w:gridCol w:w="601"/>
        <w:gridCol w:w="146"/>
        <w:gridCol w:w="146"/>
        <w:gridCol w:w="196"/>
        <w:gridCol w:w="601"/>
        <w:gridCol w:w="146"/>
        <w:gridCol w:w="146"/>
        <w:gridCol w:w="196"/>
        <w:gridCol w:w="511"/>
        <w:gridCol w:w="146"/>
        <w:gridCol w:w="146"/>
        <w:gridCol w:w="146"/>
        <w:gridCol w:w="331"/>
        <w:gridCol w:w="287"/>
      </w:tblGrid>
      <w:t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1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Net revenue decreased by $6.6 million or 21.5% for the three months ended September 30, 2026, as compared to the same period in 2025. The decrease was primarily driven by decreases of $4.7 million or 17.4% and $1.8 million or 58.6% in net revenue from our MLPE and GO ESS product lines, respectively, reflecting lower demand in the Americas and EMEA regions, partially offset by growth in the APAC region. Net revenue also decreased due to a $0.3 million decrease in royalty revenue, as royalty income is now recognized in other income, net following the sale of certain patent rights in December 2025. For more information on the royalty revenue transition to other income, net, see Note 14, “Patent Sale” of the notes to condensed consolidated financial statements included in Part I, Item 1 of this Quarterly Report on Form 10-Q.</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jc w:val="both"/>
        <w:rPr>
          <w:rFonts w:ascii="Times New Roman" w:hAnsi="Times New Roman"/>
          <w:color w:val="000000"/>
          <w:sz w:val="20"/>
        </w:rPr>
      </w:pPr>
      <w:r>
        <w:rPr>
          <w:rFonts w:ascii="Times New Roman" w:hAnsi="Times New Roman"/>
          <w:color w:val="000000"/>
          <w:sz w:val="20"/>
        </w:rPr>
        <w:t>Net revenue increased by $1.1 million or 1.5% for the nine months ended September 30, 2026, as compared to the same period in 2025. The increase was primarily driven by a $2.2 million or 3.4% increase in net revenue from our MLPE product line, reflecting growth in the EMEA and APAC regions during the first half of 2026, partially offset by lower demand in the Americas region and the decline in the third quarter discussed above. Net revenue from our GO ESS product line was relatively flat compared to the same period in 2025. The increase was partially offset by a $1.5 million decrease in royalty revenue, reflecting the royalty revenue shift to other income, net discussed above.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Please see the section below for a discussion of the factors influencing the fluctuations in net revenue for each geographic region.</w:t>
      </w:r>
    </w:p>
    <w:tbl>
      <w:tblPr>
        <w:tblW w:w="10205" w:type="dxa"/>
        <w:jc w:val="left"/>
        <w:tblInd w:w="0" w:type="dxa"/>
        <w:tblLayout w:type="fixed"/>
        <w:tblCellMar>
          <w:top w:w="28" w:type="dxa"/>
          <w:left w:w="28" w:type="dxa"/>
          <w:bottom w:w="28" w:type="dxa"/>
          <w:right w:w="28" w:type="dxa"/>
        </w:tblCellMar>
      </w:tblPr>
      <w:tblGrid>
        <w:gridCol w:w="1573"/>
        <w:gridCol w:w="146"/>
        <w:gridCol w:w="196"/>
        <w:gridCol w:w="601"/>
        <w:gridCol w:w="146"/>
        <w:gridCol w:w="146"/>
        <w:gridCol w:w="196"/>
        <w:gridCol w:w="601"/>
        <w:gridCol w:w="146"/>
        <w:gridCol w:w="146"/>
        <w:gridCol w:w="196"/>
        <w:gridCol w:w="571"/>
        <w:gridCol w:w="166"/>
        <w:gridCol w:w="146"/>
        <w:gridCol w:w="146"/>
        <w:gridCol w:w="481"/>
        <w:gridCol w:w="263"/>
        <w:gridCol w:w="146"/>
        <w:gridCol w:w="196"/>
        <w:gridCol w:w="601"/>
        <w:gridCol w:w="146"/>
        <w:gridCol w:w="146"/>
        <w:gridCol w:w="196"/>
        <w:gridCol w:w="601"/>
        <w:gridCol w:w="146"/>
        <w:gridCol w:w="146"/>
        <w:gridCol w:w="196"/>
        <w:gridCol w:w="571"/>
        <w:gridCol w:w="166"/>
        <w:gridCol w:w="146"/>
        <w:gridCol w:w="146"/>
        <w:gridCol w:w="481"/>
        <w:gridCol w:w="309"/>
      </w:tblGrid>
      <w:tr>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c>
          <w:tcPr>
            <w:tcW w:w="15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7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decreased by $3.2 million or 14.8% for the three months ended September 30, 2026, as compared to the same period in 2025, primarily driven by decreases of $2.6 million and $0.7 million in net revenue from our MLPE and GO ESS product lines, respectively. The decrease reflects continued softness in European residential solar markets as they adjust to a reduced subsidy environment, with lower demand for our MLPE products in Italy, the United Kingdom and the Czech Republic. The decrease in GO ESS net revenue primarily reflects lower shipments in Italy, as the ramp of our GO ESS products progressed more gradually than anticipated. These decreases were partially offset by higher demand for our MLPE products in Spain and Poland.</w:t>
      </w:r>
    </w:p>
    <w:p>
      <w:pPr>
        <w:pStyle w:val="TextBody"/>
        <w:bidi w:val="0"/>
        <w:spacing w:before="120" w:after="80"/>
        <w:jc w:val="both"/>
        <w:rPr>
          <w:color w:val="000000"/>
        </w:rPr>
      </w:pPr>
      <w:r>
        <w:rPr>
          <w:color w:val="000000"/>
        </w:rPr>
        <w:t>•</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Americas - Net revenue for the Americas region decreased by $4.0 million or 50.2% for the three months ended September 30, 2026, as compared to the same period in 2025, primarily driven by decreases of $2.6 million and $1.1 million in net revenue from our MLPE and GO ESS product lines, respectively. The decrease was primarily due to lower demand in the United States following the expiration of the Section 25D residential clean energy tax credit at the end of 2025, and a $0.3 million decrease in royalty revenue, reflecting the royalty revenue shift to other income, net, discussed above. The decrease was partially offset by $0.8 million of net revenue from shipments to our United States optimized inverter partner.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sz w:val="20"/>
        </w:rPr>
      </w:pPr>
      <w:r>
        <w:rPr>
          <w:rFonts w:ascii="Times New Roman" w:hAnsi="Times New Roman"/>
          <w:color w:val="000000"/>
          <w:sz w:val="20"/>
        </w:rPr>
        <w:t>APAC - Net revenue for the APAC region increased by $0.6 million or 56.3% for the three months ended September 30, 2026</w:t>
      </w:r>
      <w:r>
        <w:rPr>
          <w:rFonts w:ascii="Times New Roman" w:hAnsi="Times New Roman"/>
          <w:i/>
          <w:color w:val="000000"/>
          <w:sz w:val="20"/>
        </w:rPr>
        <w:t xml:space="preserve">, </w:t>
      </w:r>
      <w:r>
        <w:rPr>
          <w:rFonts w:ascii="Times New Roman" w:hAnsi="Times New Roman"/>
          <w:color w:val="000000"/>
          <w:sz w:val="20"/>
        </w:rPr>
        <w:t>as compared to the same period in 2025, primarily attributable to an increase of $0.6 million in net revenue from our MLPE product line, driven by stronger demand in Australia.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increased by $3.1 million or 6.0% for the nine months ended September 30, 2026, as compared to the same period in 2025, primarily driven by increases of $2.3 million and $0.4 million in net revenue from our MLPE and GO ESS product lines, respectively. The increase reflects higher demand for our MLPE products in Spain and Poland, in addition to the sale of $3.5 million of GO ESS product to a customer in Italy. These increases were partially offset by lower MLPE net revenue in the United Kingdom and the Netherlands. Growth in the region was concentrated in the first half of 2026 and was partially offset by the decrease in net revenue for the three months ended September 30, 2026, driven by lower demand in Italy, the United Kingdom and the Czech Republic, as discussed above.</w:t>
      </w:r>
    </w:p>
    <w:p>
      <w:pPr>
        <w:pStyle w:val="TextBody"/>
        <w:bidi w:val="0"/>
        <w:spacing w:before="120" w:after="80"/>
        <w:jc w:val="both"/>
        <w:rPr>
          <w:color w:val="000000"/>
        </w:rPr>
      </w:pPr>
      <w:r>
        <w:rPr>
          <w:color w:val="000000"/>
        </w:rPr>
        <w:t>•</w:t>
      </w:r>
    </w:p>
    <w:p>
      <w:pPr>
        <w:pStyle w:val="TextBody"/>
        <w:bidi w:val="0"/>
        <w:spacing w:before="120" w:after="80"/>
        <w:jc w:val="both"/>
        <w:rPr>
          <w:rFonts w:ascii="Times New Roman" w:hAnsi="Times New Roman"/>
          <w:color w:val="000000"/>
          <w:sz w:val="20"/>
        </w:rPr>
      </w:pPr>
      <w:r>
        <w:rPr>
          <w:rFonts w:ascii="Times New Roman" w:hAnsi="Times New Roman"/>
          <w:color w:val="000000"/>
          <w:sz w:val="20"/>
        </w:rPr>
        <w:t>Americas - Net revenue for the Americas region decreased by $3.8 million or 21.8% for the nine months ended September 30, 2026, as compared to the same period in 2025, primarily driven by decreases of $1.9 million and $0.4 million in net revenue from our MLPE and GO ESS product lines, respectively. This was primarily due to lower demand in the United States following the expiration of the Section 25D residential clean energy tax credit at the end of 2025, and a $1.5 million decrease in royalty revenue, reflecting the royalty revenue shift to other income, net, discussed above. The decrease was partially offset by $1.9 million of net revenue from shipments to our United States optimized inverter partner.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APAC - Net revenue for the APAC region increased by $1.8 million or 37.1% for the nine months ended September 30, 2026, as compared to the same period in 2025, primarily attributable to an increase of $1.8 million in net revenue from our MLPE product line, driven by stronger demand in Australia.</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Cost of Revenue and Gross Profit</w:t>
      </w:r>
    </w:p>
    <w:p>
      <w:pPr>
        <w:pStyle w:val="Heading2"/>
        <w:bidi w:val="0"/>
        <w:jc w:val="left"/>
      </w:pPr>
      <w:r>
        <w:t> </w:t>
      </w:r>
    </w:p>
    <w:tbl>
      <w:tblPr>
        <w:tblW w:w="10205" w:type="dxa"/>
        <w:jc w:val="left"/>
        <w:tblInd w:w="0" w:type="dxa"/>
        <w:tblLayout w:type="fixed"/>
        <w:tblCellMar>
          <w:top w:w="28" w:type="dxa"/>
          <w:left w:w="28" w:type="dxa"/>
          <w:bottom w:w="28" w:type="dxa"/>
          <w:right w:w="28" w:type="dxa"/>
        </w:tblCellMar>
      </w:tblPr>
      <w:tblGrid>
        <w:gridCol w:w="1580"/>
        <w:gridCol w:w="146"/>
        <w:gridCol w:w="196"/>
        <w:gridCol w:w="601"/>
        <w:gridCol w:w="241"/>
        <w:gridCol w:w="146"/>
        <w:gridCol w:w="196"/>
        <w:gridCol w:w="601"/>
        <w:gridCol w:w="241"/>
        <w:gridCol w:w="146"/>
        <w:gridCol w:w="196"/>
        <w:gridCol w:w="571"/>
        <w:gridCol w:w="166"/>
        <w:gridCol w:w="146"/>
        <w:gridCol w:w="146"/>
        <w:gridCol w:w="481"/>
        <w:gridCol w:w="263"/>
        <w:gridCol w:w="146"/>
        <w:gridCol w:w="196"/>
        <w:gridCol w:w="601"/>
        <w:gridCol w:w="241"/>
        <w:gridCol w:w="146"/>
        <w:gridCol w:w="196"/>
        <w:gridCol w:w="601"/>
        <w:gridCol w:w="241"/>
        <w:gridCol w:w="146"/>
        <w:gridCol w:w="196"/>
        <w:gridCol w:w="376"/>
        <w:gridCol w:w="146"/>
        <w:gridCol w:w="146"/>
        <w:gridCol w:w="146"/>
        <w:gridCol w:w="331"/>
        <w:gridCol w:w="287"/>
      </w:tblGrid>
      <w:tr>
        <w:tc>
          <w:tcPr>
            <w:tcW w:w="1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158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8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decreased by $4.6 million or 26.3% and gross profit decreased by $2.0 million or 15.0% for the three months ended September 30, 2026, as compared to the same period in 2025. The decrease in cost of revenue was primarily driven by a 21.5% decrease in net revenue for the three months ended September 30, 2026, compared to the same period in 2025. In addition to lower net revenue, cost of revenue decreased due to $0.8 million from refunds of previously paid tariffs imposed under the IEEPA and a $0.3 million decrease in customs and freight expense compared to the same period in 2025. These decreases were partially offset by a $2.5 million decrease in favorable excess and obsolete inventory and scrap adjustments, as the three months ended September 30, 2025 included sales of GO ESS inventory that had been reserved in the second half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 increased by 3.5 percentage points for the three months ended September 30, 2026, as compared to the same period in 2025, which was primarily driven by the IEEPA tariff refund discussed above.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Cost of revenue increased by $0.2 million or 0.6% and gross profit increased by $0.9 million or 2.9% for the nine months ended September 30, 2026, as compared to the same period in 2025, which was primarily driven by a 1.5% increase in net revenue for the nine months ended September 30, 2026, as compared to the same period in 2025. In addition to higher net revenue, cost of revenue increased due to a $2.9 million decrease in favorable excess and obsolete inventory and scrap adjustments and a $0.9 million increase in customs and freight expense compared to the same period in 2025. These increases were partially offset by a $2.6 million decrease in warranty expense primarily due to lower estimated return rates and changes in shipping cost estimates and to the $0.8 million IEEPA tariff refund discussed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margin increased by 0.5 percentage points for the nine months ended September 30, 2026, as compared to the same period in 2025. The increase was primarily attributable to the decrease in warranty expense and the IEEPA tariff refund, partially offset by less favorable excess and obsolete inventory and scrap adjustments and higher customs and freight expense.</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Research and Development</w:t>
      </w:r>
    </w:p>
    <w:p>
      <w:pPr>
        <w:pStyle w:val="Heading2"/>
        <w:bidi w:val="0"/>
        <w:jc w:val="both"/>
      </w:pPr>
      <w:r>
        <w:t> </w:t>
      </w:r>
    </w:p>
    <w:tbl>
      <w:tblPr>
        <w:tblW w:w="10205" w:type="dxa"/>
        <w:jc w:val="left"/>
        <w:tblInd w:w="0" w:type="dxa"/>
        <w:tblLayout w:type="fixed"/>
        <w:tblCellMar>
          <w:top w:w="28" w:type="dxa"/>
          <w:left w:w="28" w:type="dxa"/>
          <w:bottom w:w="28" w:type="dxa"/>
          <w:right w:w="28" w:type="dxa"/>
        </w:tblCellMar>
      </w:tblPr>
      <w:tblGrid>
        <w:gridCol w:w="2058"/>
        <w:gridCol w:w="146"/>
        <w:gridCol w:w="196"/>
        <w:gridCol w:w="511"/>
        <w:gridCol w:w="241"/>
        <w:gridCol w:w="146"/>
        <w:gridCol w:w="196"/>
        <w:gridCol w:w="511"/>
        <w:gridCol w:w="241"/>
        <w:gridCol w:w="146"/>
        <w:gridCol w:w="196"/>
        <w:gridCol w:w="436"/>
        <w:gridCol w:w="166"/>
        <w:gridCol w:w="146"/>
        <w:gridCol w:w="146"/>
        <w:gridCol w:w="481"/>
        <w:gridCol w:w="280"/>
        <w:gridCol w:w="146"/>
        <w:gridCol w:w="196"/>
        <w:gridCol w:w="511"/>
        <w:gridCol w:w="241"/>
        <w:gridCol w:w="146"/>
        <w:gridCol w:w="196"/>
        <w:gridCol w:w="511"/>
        <w:gridCol w:w="241"/>
        <w:gridCol w:w="146"/>
        <w:gridCol w:w="196"/>
        <w:gridCol w:w="376"/>
        <w:gridCol w:w="146"/>
        <w:gridCol w:w="146"/>
        <w:gridCol w:w="146"/>
        <w:gridCol w:w="331"/>
        <w:gridCol w:w="287"/>
      </w:tblGrid>
      <w:tr>
        <w:tc>
          <w:tcPr>
            <w:tcW w:w="2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decreased by $0.3 million or 12.0% for the three months ended September 30, 2026, as compared to the same period in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increased by $0.4 million or 6.1% for the nine months ended September 30, 2026, as compared to the same period in 2025. The increase was primarily attributable to a $0.5 million increase in payroll costs, driven by annual compensation adjustments, partially offset by a $0.3 million decrease in bonus and stock-based compensation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research and development expense may fluctuate from period to period due to differing levels and stages of development activity.</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Heading2"/>
        <w:bidi w:val="0"/>
        <w:jc w:val="left"/>
      </w:pPr>
      <w:r>
        <w:t> </w:t>
      </w:r>
    </w:p>
    <w:tbl>
      <w:tblPr>
        <w:tblW w:w="10205" w:type="dxa"/>
        <w:jc w:val="left"/>
        <w:tblInd w:w="0" w:type="dxa"/>
        <w:tblLayout w:type="fixed"/>
        <w:tblCellMar>
          <w:top w:w="28" w:type="dxa"/>
          <w:left w:w="28" w:type="dxa"/>
          <w:bottom w:w="28" w:type="dxa"/>
          <w:right w:w="28" w:type="dxa"/>
        </w:tblCellMar>
      </w:tblPr>
      <w:tblGrid>
        <w:gridCol w:w="1722"/>
        <w:gridCol w:w="146"/>
        <w:gridCol w:w="196"/>
        <w:gridCol w:w="511"/>
        <w:gridCol w:w="241"/>
        <w:gridCol w:w="146"/>
        <w:gridCol w:w="196"/>
        <w:gridCol w:w="511"/>
        <w:gridCol w:w="241"/>
        <w:gridCol w:w="146"/>
        <w:gridCol w:w="196"/>
        <w:gridCol w:w="436"/>
        <w:gridCol w:w="166"/>
        <w:gridCol w:w="146"/>
        <w:gridCol w:w="146"/>
        <w:gridCol w:w="481"/>
        <w:gridCol w:w="268"/>
        <w:gridCol w:w="146"/>
        <w:gridCol w:w="196"/>
        <w:gridCol w:w="601"/>
        <w:gridCol w:w="241"/>
        <w:gridCol w:w="146"/>
        <w:gridCol w:w="196"/>
        <w:gridCol w:w="601"/>
        <w:gridCol w:w="241"/>
        <w:gridCol w:w="146"/>
        <w:gridCol w:w="196"/>
        <w:gridCol w:w="436"/>
        <w:gridCol w:w="166"/>
        <w:gridCol w:w="146"/>
        <w:gridCol w:w="146"/>
        <w:gridCol w:w="391"/>
        <w:gridCol w:w="315"/>
      </w:tblGrid>
      <w:t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c>
          <w:tcPr>
            <w:tcW w:w="172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2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decreased by $0.6 million or 13.2% for the three months ended September 30, 2026, as compared to the same period in 2025. The decrease was primarily attributable to a $0.4 million decrease in bonus and stock-based compensation expense, due to no bonus accrual for fiscal 2026 and a reduction in stock-based compensation expense resulting from revised estimates of the expected achievement of performance conditions on our performance stock units, and to a $0.3 million decrease in commissions expense. These decreases were partially offset by a $0.2 million increase in payroll costs, driven by increased headcount.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decreased by $0.4 million or 3.1% for the nine months ended September 30, 2026, as compared to the same period in 2025. The decrease was primarily attributable to a $0.8 million decrease in bonus and stock-based compensation expense, due to no bonus accrual for fiscal 2026 and a reduction in stock-based compensation expense resulting from revised estimates of the expected achievement of performance conditions on our performance stock units, in addition to a $0.4 million decrease in commissions expense. These decreases were partially offset by a $0.7 million increase in payroll costs, driven by increased headcount.</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Heading2"/>
        <w:bidi w:val="0"/>
        <w:jc w:val="left"/>
      </w:pPr>
      <w:r>
        <w:t> </w:t>
      </w:r>
    </w:p>
    <w:tbl>
      <w:tblPr>
        <w:tblW w:w="10205" w:type="dxa"/>
        <w:jc w:val="left"/>
        <w:tblInd w:w="0" w:type="dxa"/>
        <w:tblLayout w:type="fixed"/>
        <w:tblCellMar>
          <w:top w:w="28" w:type="dxa"/>
          <w:left w:w="28" w:type="dxa"/>
          <w:bottom w:w="28" w:type="dxa"/>
          <w:right w:w="28" w:type="dxa"/>
        </w:tblCellMar>
      </w:tblPr>
      <w:tblGrid>
        <w:gridCol w:w="1972"/>
        <w:gridCol w:w="146"/>
        <w:gridCol w:w="196"/>
        <w:gridCol w:w="511"/>
        <w:gridCol w:w="241"/>
        <w:gridCol w:w="146"/>
        <w:gridCol w:w="196"/>
        <w:gridCol w:w="511"/>
        <w:gridCol w:w="241"/>
        <w:gridCol w:w="146"/>
        <w:gridCol w:w="196"/>
        <w:gridCol w:w="436"/>
        <w:gridCol w:w="166"/>
        <w:gridCol w:w="146"/>
        <w:gridCol w:w="146"/>
        <w:gridCol w:w="391"/>
        <w:gridCol w:w="276"/>
        <w:gridCol w:w="146"/>
        <w:gridCol w:w="196"/>
        <w:gridCol w:w="601"/>
        <w:gridCol w:w="241"/>
        <w:gridCol w:w="146"/>
        <w:gridCol w:w="196"/>
        <w:gridCol w:w="601"/>
        <w:gridCol w:w="241"/>
        <w:gridCol w:w="146"/>
        <w:gridCol w:w="196"/>
        <w:gridCol w:w="376"/>
        <w:gridCol w:w="146"/>
        <w:gridCol w:w="146"/>
        <w:gridCol w:w="146"/>
        <w:gridCol w:w="331"/>
        <w:gridCol w:w="287"/>
      </w:tblGrid>
      <w:tr>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19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General and administrative expense decreased by $0.3 million or 6.3% for the three months ended September 30, 2026, as compared to the same period in 2025. The decrease was primarily attributable to a $1.0 million decrease in bonus and stock-based compensation expense, due to no bonus accrual for fiscal 2026 and a reduction in stock-based compensation expense resulting from revised estimates of the expected achievement of performance conditions on our performance stock units, and a $0.4 million decrease in audit and tax fees. These decreases were partially offset by a $0.4 million increase in insurance expense, primarily associated with higher general liability insurance rates, and a $0.4 million increase in bad debt expense, primarily related to a customer in Italy that applied for a court-supervised debt restructuring on September 30,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General and administrative expense increased by $0.2 million or 1.3% for the nine months ended September 30, 2026, as compared to the same period in 2025. The increase was primarily attributable to a $1.6 million increase in bad debt expense related to customer credit deterioration, including a customer bankruptcy in the first quarter of 2026 and a customer in Italy that applied for a court-supervised debt restructuring on September 30, 2026, and a $1.0 million increase in insurance expense, primarily associated with higher general liability insurance rates. These increases were partially offset by a $2.2 million decrease in bonus and stock-based compensation expense, due to no bonus accrual for fiscal 2026 and a reduction in stock-based compensation expense resulting from revised estimates of the expected achievement of performance conditions on our performance stock units.</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Other (Income) Expenses, Net</w:t>
      </w:r>
    </w:p>
    <w:p>
      <w:pPr>
        <w:pStyle w:val="Heading2"/>
        <w:bidi w:val="0"/>
        <w:jc w:val="left"/>
      </w:pPr>
      <w:r>
        <w:t> </w:t>
      </w:r>
    </w:p>
    <w:tbl>
      <w:tblPr>
        <w:tblW w:w="10205" w:type="dxa"/>
        <w:jc w:val="left"/>
        <w:tblInd w:w="0" w:type="dxa"/>
        <w:tblLayout w:type="fixed"/>
        <w:tblCellMar>
          <w:top w:w="28" w:type="dxa"/>
          <w:left w:w="28" w:type="dxa"/>
          <w:bottom w:w="28" w:type="dxa"/>
          <w:right w:w="28" w:type="dxa"/>
        </w:tblCellMar>
      </w:tblPr>
      <w:tblGrid>
        <w:gridCol w:w="1820"/>
        <w:gridCol w:w="146"/>
        <w:gridCol w:w="196"/>
        <w:gridCol w:w="436"/>
        <w:gridCol w:w="166"/>
        <w:gridCol w:w="146"/>
        <w:gridCol w:w="196"/>
        <w:gridCol w:w="511"/>
        <w:gridCol w:w="166"/>
        <w:gridCol w:w="146"/>
        <w:gridCol w:w="196"/>
        <w:gridCol w:w="571"/>
        <w:gridCol w:w="166"/>
        <w:gridCol w:w="146"/>
        <w:gridCol w:w="146"/>
        <w:gridCol w:w="481"/>
        <w:gridCol w:w="272"/>
        <w:gridCol w:w="146"/>
        <w:gridCol w:w="196"/>
        <w:gridCol w:w="571"/>
        <w:gridCol w:w="166"/>
        <w:gridCol w:w="146"/>
        <w:gridCol w:w="196"/>
        <w:gridCol w:w="511"/>
        <w:gridCol w:w="166"/>
        <w:gridCol w:w="146"/>
        <w:gridCol w:w="196"/>
        <w:gridCol w:w="571"/>
        <w:gridCol w:w="166"/>
        <w:gridCol w:w="146"/>
        <w:gridCol w:w="146"/>
        <w:gridCol w:w="511"/>
        <w:gridCol w:w="318"/>
      </w:tblGrid>
      <w:t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8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months ended September 30, 2026, and 2025</w:t>
      </w:r>
    </w:p>
    <w:p>
      <w:pPr>
        <w:pStyle w:val="TextBody"/>
        <w:bidi w:val="0"/>
        <w:jc w:val="both"/>
        <w:rPr>
          <w:rFonts w:ascii="Times New Roman" w:hAnsi="Times New Roman"/>
          <w:color w:val="000000"/>
          <w:sz w:val="20"/>
        </w:rPr>
      </w:pPr>
      <w:r>
        <w:rPr>
          <w:rFonts w:ascii="Times New Roman" w:hAnsi="Times New Roman"/>
          <w:color w:val="000000"/>
          <w:sz w:val="20"/>
        </w:rPr>
        <w:t>Interest expense decreased by $2.8 million or 96.5% for the three months ended September 30, 2026, as compared to the same period in 2025. The decrease was primarily driven by the extinguishment of the Convertible Promissory Notes in December 2025, resulting in no related interest expense during the three months ended September 30, 2026. Interest expense for the three months ended September 30, 2026, primarily relates to borrowings and the amortization of debt issuance costs under the Credit Facility.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Other income, net decreased by a de minimis amount for the three months ended September 30, 2026, as compared to the same period in 2025.</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Nine months ended September 30, 2026, and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expense decreased by $8.5 million or 98.5% for the nine months ended September 30, 2026, as compared to the same period in 2025. The decrease was primarily driven by the extinguishment of the Convertible Promissory Notes in December 2025, resulting in no related interest expense during the nine months ended September 30, 2026. Interest expense for the nine months ended September 30, 2026, primarily relates to borrowings and the amortization of debt issuance costs under the Credit Facility.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Gain on sale of intangible assets of $0.4 million was recorded during the nine months ended September 30, 2026, as a result of the sale of certain patents to a third party, as discussed above under “Key Factors that May Influence Future Results of Operations.”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income, net increased by $0.5 million or 104.4% for the nine months ended September 30, 2026, as compared to the same period in 2025, primarily due to the royalty revenue shift to other income, net discussed above, partially offset by a $0.5 million decrease in interest income because we did not hold marketable securities during 2026.</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Income Tax (Benefit) Expense</w:t>
      </w:r>
    </w:p>
    <w:p>
      <w:pPr>
        <w:pStyle w:val="Heading2"/>
        <w:bidi w:val="0"/>
        <w:jc w:val="both"/>
      </w:pPr>
      <w:r>
        <w:t> </w:t>
      </w:r>
    </w:p>
    <w:tbl>
      <w:tblPr>
        <w:tblW w:w="9459" w:type="dxa"/>
        <w:jc w:val="left"/>
        <w:tblInd w:w="0" w:type="dxa"/>
        <w:tblLayout w:type="fixed"/>
        <w:tblCellMar>
          <w:top w:w="28" w:type="dxa"/>
          <w:left w:w="28" w:type="dxa"/>
          <w:bottom w:w="28" w:type="dxa"/>
          <w:right w:w="28" w:type="dxa"/>
        </w:tblCellMar>
      </w:tblPr>
      <w:tblGrid>
        <w:gridCol w:w="2596"/>
        <w:gridCol w:w="146"/>
        <w:gridCol w:w="196"/>
        <w:gridCol w:w="436"/>
        <w:gridCol w:w="166"/>
        <w:gridCol w:w="146"/>
        <w:gridCol w:w="196"/>
        <w:gridCol w:w="376"/>
        <w:gridCol w:w="146"/>
        <w:gridCol w:w="146"/>
        <w:gridCol w:w="196"/>
        <w:gridCol w:w="436"/>
        <w:gridCol w:w="166"/>
        <w:gridCol w:w="146"/>
        <w:gridCol w:w="376"/>
        <w:gridCol w:w="146"/>
        <w:gridCol w:w="196"/>
        <w:gridCol w:w="571"/>
        <w:gridCol w:w="166"/>
        <w:gridCol w:w="146"/>
        <w:gridCol w:w="196"/>
        <w:gridCol w:w="376"/>
        <w:gridCol w:w="146"/>
        <w:gridCol w:w="146"/>
        <w:gridCol w:w="196"/>
        <w:gridCol w:w="571"/>
        <w:gridCol w:w="166"/>
        <w:gridCol w:w="146"/>
        <w:gridCol w:w="42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2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4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r>
      <w:t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and nine months ended September 30, 2026, and 2025</w:t>
      </w:r>
    </w:p>
    <w:p>
      <w:pPr>
        <w:pStyle w:val="TextBody"/>
        <w:bidi w:val="0"/>
        <w:jc w:val="both"/>
        <w:rPr>
          <w:rFonts w:ascii="Times New Roman" w:hAnsi="Times New Roman"/>
          <w:color w:val="000000"/>
          <w:sz w:val="20"/>
        </w:rPr>
      </w:pPr>
      <w:r>
        <w:rPr>
          <w:rFonts w:ascii="Times New Roman" w:hAnsi="Times New Roman"/>
          <w:color w:val="000000"/>
          <w:sz w:val="20"/>
        </w:rPr>
        <w:t>We recorded an income tax benefit of $0.3 million and $3.7 million for the three and nine months ended September 30, 2026, respectively. The benefits for the three and nine months ended September 30, 2026, were primarily related to the valuation allowance release resulting from a change to the intercompany operating model of the affected foreign subsidiary, and to the application of our estimated annual effective tax rate to losses at our foreign subsidiaries. We recorded income tax expense of $0.2 million and $0.7 million for the three and nine months ended September 30, 2025, respectively, primarily related to settlement of a foreign tax examination. For more information, see Note 13, “Income Taxes”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2026, our principal sources of liquidity were cash and cash equivalents of $16.8 million, availability under our revolving credit facility and total working capital, which we define as current assets less current liabilities, of $36.0 million. Our principal uses of cash are for funding our operations, capital expenditures, other working capital requirements and other investments. On February 24, 2026, we closed the Registered Direct Offering, resulting in gross proceeds of $15.0 million and net proceeds of approximately $14.0 million after deducting placement agent fees and offering expenses. We believe that our existing cash and cash equivalents, our expected cash flows from operations, the proceeds received from the Registered Direct Offering and our available borrowing capacity under the Credit Facility will provide adequate liquidity for ongoing operations, planned capital expenditures and other investments for at least the next 12 months from the issuance date of this Quarterly Report on Form 10-Q. </w:t>
      </w:r>
    </w:p>
    <w:p>
      <w:pPr>
        <w:pStyle w:val="TextBody"/>
        <w:bidi w:val="0"/>
        <w:spacing w:before="24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In March 2026, we entered into the Credit Facility with Wells Fargo which provides for borrowings of up to $10.0 million, subject to borrowing base. As of September 30, 2026, $2.5 million was outstanding under the Credit Facility, and we were in compliance with all applicable covenants. For more information, see Note 7, “Debt” of the notes to condensed consolidated financial statements included in Part I, Item 1 of this Quarterly Report on Form 10-Q.</w:t>
      </w:r>
    </w:p>
    <w:p>
      <w:pPr>
        <w:pStyle w:val="TextBody"/>
        <w:bidi w:val="0"/>
        <w:spacing w:before="240" w:after="160"/>
        <w:jc w:val="both"/>
        <w:rPr>
          <w:rFonts w:ascii="Times New Roman" w:hAnsi="Times New Roman"/>
          <w:sz w:val="20"/>
        </w:rPr>
      </w:pPr>
      <w:r>
        <w:rPr>
          <w:rFonts w:ascii="Times New Roman" w:hAnsi="Times New Roman"/>
          <w:b/>
          <w:i/>
          <w:color w:val="000000"/>
          <w:sz w:val="20"/>
        </w:rPr>
        <w:t xml:space="preserve">Operating Leases. </w:t>
      </w:r>
      <w:r>
        <w:rPr>
          <w:rFonts w:ascii="Times New Roman" w:hAnsi="Times New Roman"/>
          <w:color w:val="000000"/>
          <w:sz w:val="20"/>
        </w:rPr>
        <w:t>We have entered into various operating leases, primarily for our facilities, which include non-cancelable lease periods and certain renewal and termination options. Our facility lease agreements have contractual expiration dates through 2032, with our most significant leases relating to our facilities in Los Gatos, California, entered into during the second quarter of 2025, and Ra’anana, Israel, entered into during the first quarter of 2023. As of September 30, 2026, we had total lease obligations of $2.2 million recorded on our condensed consolidated balance sheets. For more information, see Note 11, “Leases” of the notes to condensed consolidated financial statements included in Part I, Item 1 of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Cash Flows. </w:t>
      </w:r>
      <w:r>
        <w:rPr>
          <w:rFonts w:ascii="Times New Roman" w:hAnsi="Times New Roman"/>
          <w:color w:val="000000"/>
          <w:sz w:val="20"/>
        </w:rPr>
        <w:t xml:space="preserve">The following table summarizes our cash flows for the periods presented: </w:t>
      </w:r>
    </w:p>
    <w:p>
      <w:pPr>
        <w:pStyle w:val="TextBody"/>
        <w:bidi w:val="0"/>
        <w:jc w:val="left"/>
      </w:pPr>
      <w:r>
        <w:t> </w:t>
      </w:r>
    </w:p>
    <w:tbl>
      <w:tblPr>
        <w:tblW w:w="6625" w:type="dxa"/>
        <w:jc w:val="left"/>
        <w:tblInd w:w="0" w:type="dxa"/>
        <w:tblLayout w:type="fixed"/>
        <w:tblCellMar>
          <w:top w:w="28" w:type="dxa"/>
          <w:left w:w="28" w:type="dxa"/>
          <w:bottom w:w="28" w:type="dxa"/>
          <w:right w:w="28" w:type="dxa"/>
        </w:tblCellMar>
      </w:tblPr>
      <w:tblGrid>
        <w:gridCol w:w="3676"/>
        <w:gridCol w:w="146"/>
        <w:gridCol w:w="266"/>
        <w:gridCol w:w="818"/>
        <w:gridCol w:w="226"/>
        <w:gridCol w:w="198"/>
        <w:gridCol w:w="266"/>
        <w:gridCol w:w="818"/>
        <w:gridCol w:w="211"/>
      </w:tblGrid>
      <w:t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6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tariffs,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2025 Annual Report.</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Provided by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consisted of net income (loss) adjusted for certain non-cash reconciling items, such as non-cash interest expense, stock-based compensation expense, provision to write down inventories to net realizable value, depreciation and amortization, non-cash lease expense, gain on sale and payment of transaction costs related to the sale of intangible assets, deferred income tax benefit and changes in our operating assets and liabilities. Cash provided by operating activities decreased by $17.0 million to cash used in operating activities during the nine months ended September 30, 2026, as compared to the same period in 2025.</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investing activities was $2.2 million for the nine months ended September 30, 2026, primarily attributable to proceeds from the sale of intangible assets as a result of our satisfaction of the conditions specified in the patent purchase agreement and receipt of an additional holdback payment in May 2026, and was partially offset by the purchase of property and equipment. Net cash used in investing activities was $7.4 million for the nine months ended September 30, 2025, primarily attributable to the purchase of marketable securities, partially offset by proceeds received from the sale and maturities of marketable securities.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increased by $3.8 million during the nine months ended September 30, 2026, as compared to the same period in 2025, which was primarily attributable to the proceeds from the issuance of common stock in the Registered Direct Offering and proceeds from borrowings under the Credit Facility, as compared to proceeds from sales of common stock under our at-the-market offering program in the same period in 2025. This is partially offset due to payments of tax withholdings of restricted and performance stock awards, payment of debt issuance costs on the Credit Facility and payment of expenses associated with the Registered Direct Offering. </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Contractual Obligations</w:t>
      </w:r>
    </w:p>
    <w:p>
      <w:pPr>
        <w:pStyle w:val="TextBody"/>
        <w:bidi w:val="0"/>
        <w:jc w:val="both"/>
        <w:rPr>
          <w:rFonts w:ascii="Times New Roman" w:hAnsi="Times New Roman"/>
          <w:color w:val="000000"/>
          <w:sz w:val="20"/>
        </w:rPr>
      </w:pPr>
      <w:r>
        <w:rPr>
          <w:rFonts w:ascii="Times New Roman" w:hAnsi="Times New Roman"/>
          <w:color w:val="000000"/>
          <w:sz w:val="20"/>
        </w:rPr>
        <w:t>Our contractual obligations primarily consist of our obligations under operating leases and inventory component purchases. As of September 30, 2026, there have been no material changes from our disclosure in our 2025 Annual Report. For more information on our future minimum operating leases, see Note 11, “Leases” and for more information on our Credit Facility, see Note 7, “Debt” of the notes to condensed consolidated financial statements included in Part I, Item 1 of this Quarterly Report on Form 10-Q.</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During the periods presented, we did not have any off-balance sheet arrangements.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ended September 30, 2026, there have been no material changes to our critical accounting estimates from the information reported in our 2025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 </w:t>
      </w:r>
    </w:p>
    <w:p>
      <w:pPr>
        <w:pStyle w:val="Heading2"/>
        <w:bidi w:val="0"/>
        <w:spacing w:before="360" w:after="283"/>
        <w:jc w:val="both"/>
        <w:rPr>
          <w:rFonts w:ascii="Times New Roman" w:hAnsi="Times New Roman"/>
          <w:color w:val="000000"/>
          <w:sz w:val="20"/>
        </w:rPr>
      </w:pPr>
      <w:bookmarkStart w:id="9" w:name="item_3_quantitative_and_qualitative"/>
      <w:bookmarkEnd w:id="9"/>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Heading2"/>
        <w:bidi w:val="0"/>
        <w:spacing w:before="360" w:after="283"/>
        <w:jc w:val="both"/>
        <w:rPr>
          <w:rFonts w:ascii="Times New Roman" w:hAnsi="Times New Roman"/>
          <w:color w:val="000000"/>
          <w:sz w:val="20"/>
        </w:rPr>
      </w:pPr>
      <w:bookmarkStart w:id="10" w:name="item_4_controls_and_procedures"/>
      <w:bookmarkEnd w:id="10"/>
      <w:r>
        <w:rPr>
          <w:rFonts w:ascii="Times New Roman" w:hAnsi="Times New Roman"/>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September 30, 2026, as defined in Rules 13a-15(e) and 15d-15(e)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and procedures were effective as of September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September 30, 2026,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Heading2"/>
        <w:bidi w:val="0"/>
        <w:spacing w:before="360" w:after="283"/>
        <w:jc w:val="center"/>
        <w:rPr>
          <w:rFonts w:ascii="Times New Roman" w:hAnsi="Times New Roman"/>
          <w:color w:val="000000"/>
          <w:sz w:val="20"/>
        </w:rPr>
      </w:pPr>
      <w:r>
        <w:rPr>
          <w:rFonts w:ascii="Times New Roman" w:hAnsi="Times New Roman"/>
          <w:color w:val="000000"/>
          <w:sz w:val="20"/>
        </w:rPr>
        <w:t>PART II—OTHER INFORMATION</w:t>
      </w:r>
    </w:p>
    <w:p>
      <w:pPr>
        <w:pStyle w:val="Heading2"/>
        <w:bidi w:val="0"/>
        <w:spacing w:before="240" w:after="283"/>
        <w:jc w:val="left"/>
        <w:rPr>
          <w:rFonts w:ascii="Times New Roman" w:hAnsi="Times New Roman"/>
          <w:color w:val="000000"/>
          <w:sz w:val="20"/>
        </w:rPr>
      </w:pPr>
      <w:bookmarkStart w:id="11" w:name="item_1_legal_proceedings"/>
      <w:bookmarkEnd w:id="11"/>
      <w:r>
        <w:rPr>
          <w:rFonts w:ascii="Times New Roman" w:hAnsi="Times New Roman"/>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Item 1 of Part I, “Financial Statements — Note 8 — Commitments and Contingencies — Legal Proceedings.”</w:t>
      </w:r>
    </w:p>
    <w:p>
      <w:pPr>
        <w:pStyle w:val="TextBody"/>
        <w:bidi w:val="0"/>
        <w:jc w:val="left"/>
      </w:pPr>
      <w:r>
        <w:t> </w:t>
      </w:r>
    </w:p>
    <w:p>
      <w:pPr>
        <w:pStyle w:val="Heading2"/>
        <w:bidi w:val="0"/>
        <w:spacing w:before="360" w:after="283"/>
        <w:jc w:val="left"/>
        <w:rPr>
          <w:rFonts w:ascii="Times New Roman" w:hAnsi="Times New Roman"/>
          <w:color w:val="000000"/>
          <w:sz w:val="20"/>
        </w:rPr>
      </w:pPr>
      <w:bookmarkStart w:id="12" w:name="item_1a_risk_factors"/>
      <w:bookmarkEnd w:id="12"/>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other information set forth in this Quarterly Report on Form 10-Q, you should carefully consider the risk factors disclosed in the section entitled “Risk Factors” in Part I, Item 1A, of the Company’s 2025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covered by this Quarterly Report on Form 10-Q, there have been no material changes in our risk factors as previously disclosed, except for the following: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negatively affected by the prospect of expanded trade restrictions between the government of the United States and where we or our partners operate. Escalating trade tensions between the United States and China have led to increased tariffs and trade restrictions, including tariffs applicable to some of our products. Our operations and supply chain may be adversely affected by actual or threatened trade actions, including new or increased tariffs, customs duties, import/export restrictions, sanctions, and other trade barriers in the United States and in other jurisdictions in which we or our suppliers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recent policy actions and proposals in the United States have included the imposition of, or consideration of, additional tariffs and other trade restrictions on certain imported goods, including goods sourced from China and other jurisdictions. Any escalation of a trade war between China and the U.S., or between any other jurisdictions in which we conduct business, could potentially impact our hardware component prices and impact any plans to sell products in China and other international markets. The escalation of any “trade war” may also contribute to the rise of inflation, which may negatively affect the United States’ and global markets. Retaliatory measures, changes in customs enforcement practices, or broader trade restrictions could also disrupt logistics, lengthen lead times, limit component availability, and increase price volatility.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trade laws, including recent regulatory actions, may not benefit us as anticipated, or at all. For example, although we believe the July 2026 decision of the Federal Communications Commission (“FCC”) to restrict future authorizations of foreign-produced power inverters could support the strategic rationale for our U.S. manufacturing strategy, we cannot assure you that this or any other trade action will result in a competitive advantage for us. The scope of the FCC’s action remains subject to change, including through an available conditional exception process, competitors may adjust their manufacturing footprints to remain compliant or to obtain exceptions, and the FCC or other agencies may modify, narrow, or delay enforcement of the restriction. Moreover, the overall impact of trade laws on our business depends on multiple factors, including their duration, their scope and potential expansion thereof, application, enforcement, retaliatory measures by impacted exporting countries, inflationary effects and broader macroeconomic responses, changes to consumer purchasing behavior, and the effectiveness of our responses in managing these impacts. If trade laws do not evolve as we currently expect, or if we are unable to capitalize on any resulting opportunities, our competitive position, results of operations, and financial condition could be adversely affected.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Additionally, in recent years, imposition and withdrawal of import tariffs have been unpredictable. On February 20, 2026, the United States Supreme Court ruled in </w:t>
      </w:r>
      <w:r>
        <w:rPr>
          <w:rFonts w:ascii="Times New Roman" w:hAnsi="Times New Roman"/>
          <w:i/>
          <w:color w:val="000000"/>
          <w:sz w:val="20"/>
        </w:rPr>
        <w:t>Learning Resources, Inc. v. Trump</w:t>
      </w:r>
      <w:r>
        <w:rPr>
          <w:rFonts w:ascii="Times New Roman" w:hAnsi="Times New Roman"/>
          <w:color w:val="000000"/>
          <w:sz w:val="20"/>
        </w:rPr>
        <w:t xml:space="preserve"> that import tariffs imposed under the IEEPA were invalid. Following the ruling, the U.S. Court of International Trade directed CBP to establish a refund process, and on April 20, 2026, CBP launched an online portal for the submission of IEEPA refund claims. The availability, scope and timing of any refunds remain contingent upon CBP’s review and validation process. Also on February 20, 2026, the President imposed a temporary import surcharge under Section 122, which expired on July 24, 2026. On May 7, 2026, the U.S. Court of International Trade held the Section 122 surcharge invalid. The government has appealed, and the Federal Circuit has stayed the ruling pending appeal. No refund process has been established. Effective July 24, 2026, the Administration imposed tariffs ranging from 10% to 12.5% under Section 301 of the Trade Act of 1974 on imports from 60 economies. It remains uncertain whether additional tariffs or trade restrictions will be imposed, whether such measures will withstand legal challenge, and whether refunds of duties previously paid will be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this time, it is unclear how further expanded trade restrictions may impact us or our partners, although they pose the risk of price instability and that exports of our products may become subject to retaliatory tariffs. In addition, alternative suppliers for certain critical components may be limited, may require lengthy qualification and certification processes, or may not be available at competitive cost or in sufficient volumes. These developments may also reduce customer demand by increasing the total installed cost of solar and storage systems or extending payback periods, and continuing uncertainty could cause customers to advance, delay, reduce, or cancel purchases. Any of these factors could have a material adverse effect on our business, financial condition and results of operations.</w:t>
      </w:r>
    </w:p>
    <w:p>
      <w:pPr>
        <w:pStyle w:val="Heading2"/>
        <w:bidi w:val="0"/>
        <w:spacing w:before="360" w:after="283"/>
        <w:jc w:val="both"/>
        <w:rPr>
          <w:rFonts w:ascii="Times New Roman" w:hAnsi="Times New Roman"/>
          <w:color w:val="000000"/>
          <w:sz w:val="20"/>
        </w:rPr>
      </w:pPr>
      <w:bookmarkStart w:id="13" w:name="item_2_unregistered_sales_of_equity"/>
      <w:bookmarkEnd w:id="13"/>
      <w:r>
        <w:rPr>
          <w:rFonts w:ascii="Times New Roman" w:hAnsi="Times New Roman"/>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4" w:name="tem_3_defaults_upon_senior_securities"/>
      <w:bookmarkEnd w:id="14"/>
      <w:r>
        <w:rPr>
          <w:rFonts w:ascii="Times New Roman" w:hAnsi="Times New Roman"/>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Heading2"/>
        <w:bidi w:val="0"/>
        <w:spacing w:before="360" w:after="283"/>
        <w:jc w:val="both"/>
        <w:rPr>
          <w:rFonts w:ascii="Times New Roman" w:hAnsi="Times New Roman"/>
          <w:color w:val="000000"/>
          <w:sz w:val="20"/>
        </w:rPr>
      </w:pPr>
      <w:bookmarkStart w:id="15" w:name="item_4_mine_safety_disclosures"/>
      <w:bookmarkEnd w:id="15"/>
      <w:r>
        <w:rPr>
          <w:rFonts w:ascii="Times New Roman" w:hAnsi="Times New Roman"/>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color w:val="000000"/>
          <w:sz w:val="20"/>
        </w:rPr>
      </w:pPr>
      <w:bookmarkStart w:id="16" w:name="item_5_other_information"/>
      <w:bookmarkEnd w:id="16"/>
      <w:r>
        <w:rPr>
          <w:rFonts w:ascii="Times New Roman" w:hAnsi="Times New Roman"/>
          <w:color w:val="000000"/>
          <w:sz w:val="20"/>
        </w:rPr>
        <w:t>Item 5. Other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September 30, 2026, none of our directors or officers adopted or terminated a “Rule 10b5-1 trading arrangement” or “non-Rule 10b5-1 trading arrangement,” as each term is defined in Item 408(a) of Regulation S-K.</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214"/>
        <w:gridCol w:w="162"/>
        <w:gridCol w:w="8829"/>
      </w:tblGrid>
      <w:tr>
        <w:tc>
          <w:tcPr>
            <w:tcW w:w="1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829" w:type="dxa"/>
            <w:tcBorders/>
            <w:vAlign w:val="center"/>
          </w:tcPr>
          <w:p>
            <w:pPr>
              <w:pStyle w:val="TableContents"/>
              <w:bidi w:val="0"/>
              <w:spacing w:before="0" w:after="283"/>
              <w:jc w:val="left"/>
              <w:rPr>
                <w:sz w:val="4"/>
                <w:szCs w:val="4"/>
              </w:rPr>
            </w:pPr>
            <w:r>
              <w:rPr>
                <w:sz w:val="4"/>
                <w:szCs w:val="4"/>
              </w:rPr>
            </w:r>
          </w:p>
        </w:tc>
      </w:tr>
      <w:tr>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29" w:type="dxa"/>
            <w:tcBorders/>
            <w:shd w:fill="FFFFFF" w:val="clear"/>
            <w:tcMar>
              <w:top w:w="0" w:type="dxa"/>
              <w:left w:w="0" w:type="dxa"/>
              <w:bottom w:w="0" w:type="dxa"/>
              <w:right w:w="0" w:type="dxa"/>
            </w:tcMar>
            <w:vAlign w:val="center"/>
          </w:tcPr>
          <w:p>
            <w:pPr>
              <w:pStyle w:val="TableContents"/>
              <w:bidi w:val="0"/>
              <w:jc w:val="left"/>
            </w:pPr>
            <w:hyperlink r:id="rId2">
              <w:r>
                <w:rPr>
                  <w:rStyle w:val="InternetLink"/>
                  <w:rFonts w:ascii="Times New Roman" w:hAnsi="Times New Roman"/>
                  <w:color w:val="0000FF"/>
                  <w:sz w:val="20"/>
                  <w:u w:val="single"/>
                </w:rPr>
                <w:t>Second Amended and Restated Certificate of Incorporation of Tigo Energy, Inc. (incorporated by reference</w:t>
              </w:r>
            </w:hyperlink>
          </w:p>
          <w:p>
            <w:pPr>
              <w:pStyle w:val="TableContents"/>
              <w:bidi w:val="0"/>
              <w:spacing w:before="0" w:after="283"/>
              <w:jc w:val="left"/>
            </w:pPr>
            <w:hyperlink r:id="rId3">
              <w:r>
                <w:rPr>
                  <w:rStyle w:val="InternetLink"/>
                  <w:rFonts w:ascii="Times New Roman" w:hAnsi="Times New Roman"/>
                  <w:color w:val="0000FF"/>
                  <w:sz w:val="20"/>
                  <w:u w:val="single"/>
                </w:rPr>
                <w:t>to Exhibit 3.1 to the Company’s Current Report on Form 8-K, filed with the SEC on May 30, 2023).</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29" w:type="dxa"/>
            <w:tcBorders/>
            <w:shd w:fill="FFFFFF" w:val="clear"/>
            <w:tcMar>
              <w:top w:w="0" w:type="dxa"/>
              <w:left w:w="0" w:type="dxa"/>
              <w:bottom w:w="0" w:type="dxa"/>
              <w:right w:w="0" w:type="dxa"/>
            </w:tcMar>
            <w:vAlign w:val="center"/>
          </w:tcPr>
          <w:p>
            <w:pPr>
              <w:pStyle w:val="TableContents"/>
              <w:bidi w:val="0"/>
              <w:jc w:val="left"/>
            </w:pPr>
            <w:hyperlink r:id="rId4">
              <w:r>
                <w:rPr>
                  <w:rStyle w:val="InternetLink"/>
                  <w:rFonts w:ascii="Times New Roman" w:hAnsi="Times New Roman"/>
                  <w:color w:val="0000FF"/>
                  <w:sz w:val="20"/>
                  <w:u w:val="single"/>
                </w:rPr>
                <w:t>Amended and Restated Bylaws of Tigo Energy, Inc. (incorporated by reference to Exhibit 3.2 to the</w:t>
              </w:r>
            </w:hyperlink>
          </w:p>
          <w:p>
            <w:pPr>
              <w:pStyle w:val="TableContents"/>
              <w:bidi w:val="0"/>
              <w:spacing w:before="0" w:after="283"/>
              <w:jc w:val="left"/>
            </w:pPr>
            <w:hyperlink r:id="rId5">
              <w:r>
                <w:rPr>
                  <w:rStyle w:val="InternetLink"/>
                  <w:rFonts w:ascii="Times New Roman" w:hAnsi="Times New Roman"/>
                  <w:color w:val="0000FF"/>
                  <w:sz w:val="20"/>
                  <w:u w:val="single"/>
                </w:rPr>
                <w:t>Company’s Current Report on Form 8-K, filed with the SEC on May 30, 2023).</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29" w:type="dxa"/>
            <w:tcBorders/>
            <w:shd w:fill="FFFFFF" w:val="clear"/>
            <w:tcMar>
              <w:top w:w="0" w:type="dxa"/>
              <w:left w:w="0" w:type="dxa"/>
              <w:bottom w:w="0" w:type="dxa"/>
              <w:right w:w="0" w:type="dxa"/>
            </w:tcMar>
            <w:vAlign w:val="center"/>
          </w:tcPr>
          <w:p>
            <w:pPr>
              <w:pStyle w:val="TableContents"/>
              <w:bidi w:val="0"/>
              <w:spacing w:before="0" w:after="283"/>
              <w:jc w:val="both"/>
            </w:pPr>
            <w:hyperlink r:id="rId6">
              <w:r>
                <w:rPr>
                  <w:rStyle w:val="InternetLink"/>
                  <w:rFonts w:ascii="Times New Roman" w:hAnsi="Times New Roman"/>
                  <w:color w:val="0000FF"/>
                  <w:sz w:val="20"/>
                  <w:u w:val="single"/>
                </w:rPr>
                <w:t>Tigo Energy, Inc. Employee Stock Purchase Plan (incorporated by reference to Exhibit 10.1 to Amendment No. 1 to the Company’s Current Report on Form 8-K, filed with the SEC on September 8, 2026).</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pPr>
            <w:hyperlink w:anchor="tygo-ex31_1.htm">
              <w:r>
                <w:rPr>
                  <w:rStyle w:val="InternetLink"/>
                  <w:rFonts w:ascii="Times New Roman" w:hAnsi="Times New Roman"/>
                  <w:color w:val="0000FF"/>
                  <w:sz w:val="20"/>
                  <w:u w:val="single"/>
                </w:rPr>
                <w:t>Certification of Chief Executive Officer pursuant to Rule 13a-14(a)/15d-14(a)</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pPr>
            <w:hyperlink w:anchor="tygo-ex31_2.htm">
              <w:r>
                <w:rPr>
                  <w:rStyle w:val="InternetLink"/>
                  <w:rFonts w:ascii="Times New Roman" w:hAnsi="Times New Roman"/>
                  <w:color w:val="0000FF"/>
                  <w:sz w:val="20"/>
                  <w:u w:val="single"/>
                </w:rPr>
                <w:t>Certification of Chief Financial Officer pursuant to Rule 13a-14(a)/15d-14(a)</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pPr>
            <w:hyperlink w:anchor="tygo-ex32_1.htm">
              <w:r>
                <w:rPr>
                  <w:rStyle w:val="InternetLink"/>
                  <w:rFonts w:ascii="Times New Roman" w:hAnsi="Times New Roman"/>
                  <w:color w:val="0000FF"/>
                  <w:sz w:val="20"/>
                  <w:u w:val="single"/>
                </w:rPr>
                <w:t>Certification of Chief Executive Officer pursuant to Rule 13a-14(b)/15d-14(b)</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pPr>
            <w:hyperlink w:anchor="tygo-ex32_2.htm">
              <w:r>
                <w:rPr>
                  <w:rStyle w:val="InternetLink"/>
                  <w:rFonts w:ascii="Times New Roman" w:hAnsi="Times New Roman"/>
                  <w:color w:val="0000FF"/>
                  <w:sz w:val="20"/>
                  <w:u w:val="single"/>
                </w:rPr>
                <w:t>Certification of Chief Financial Officer pursuant to Rule 13a-14(b)/15d-14(b)</w:t>
              </w:r>
            </w:hyperlink>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(formatted as Inline XBRL and contained in Exhibit 101) </w:t>
            </w:r>
          </w:p>
        </w:tc>
      </w:tr>
      <w:tr>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Furnished herewith. This certification is deemed not filed for purposes of Section 18 of the Exchange Act, or otherwise subject to the liability of that section, nor shall it be deemed incorporated by reference into any filing under the Securities Act of 1933, as amended or the Exchange Act</w:t>
            </w:r>
          </w:p>
        </w:tc>
      </w:tr>
      <w:t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Indicates management contract or compensatory plan.</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19" w:name="tygo-ex31_1.htm"/>
      <w:bookmarkStart w:id="20" w:name="kstygo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2026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6407" w:type="dxa"/>
        <w:jc w:val="left"/>
        <w:tblInd w:w="0" w:type="dxa"/>
        <w:tblLayout w:type="fixed"/>
        <w:tblCellMar>
          <w:top w:w="28" w:type="dxa"/>
          <w:left w:w="28" w:type="dxa"/>
          <w:bottom w:w="28" w:type="dxa"/>
          <w:right w:w="28" w:type="dxa"/>
        </w:tblCellMar>
      </w:tblPr>
      <w:tblGrid>
        <w:gridCol w:w="2101"/>
        <w:gridCol w:w="4306"/>
      </w:tblGrid>
      <w:t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4, 2026</w:t>
            </w:r>
          </w:p>
        </w:tc>
        <w:tc>
          <w:tcPr>
            <w:tcW w:w="4306"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1" w:name="tygo-ex31_2.htm"/>
      <w:bookmarkStart w:id="22" w:name="kstygo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2026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5867" w:type="dxa"/>
        <w:jc w:val="left"/>
        <w:tblInd w:w="0" w:type="dxa"/>
        <w:tblLayout w:type="fixed"/>
        <w:tblCellMar>
          <w:top w:w="28" w:type="dxa"/>
          <w:left w:w="28" w:type="dxa"/>
          <w:bottom w:w="28" w:type="dxa"/>
          <w:right w:w="28" w:type="dxa"/>
        </w:tblCellMar>
      </w:tblPr>
      <w:tblGrid>
        <w:gridCol w:w="2101"/>
        <w:gridCol w:w="3766"/>
      </w:tblGrid>
      <w:t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4, 2026</w:t>
            </w:r>
          </w:p>
        </w:tc>
        <w:tc>
          <w:tcPr>
            <w:tcW w:w="3766"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3" w:name="tygo-ex32_1.htm"/>
      <w:bookmarkStart w:id="24" w:name="kstygo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September 30, 2026,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November 4, 2026</w:t>
      </w:r>
    </w:p>
    <w:p>
      <w:pPr>
        <w:pStyle w:val="TextBody"/>
        <w:bidi w:val="0"/>
        <w:jc w:val="left"/>
      </w:pPr>
      <w:r>
        <w:t> </w:t>
      </w:r>
    </w:p>
    <w:tbl>
      <w:tblPr>
        <w:tblW w:w="4467" w:type="dxa"/>
        <w:jc w:val="left"/>
        <w:tblInd w:w="0" w:type="dxa"/>
        <w:tblLayout w:type="fixed"/>
        <w:tblCellMar>
          <w:top w:w="28" w:type="dxa"/>
          <w:left w:w="28" w:type="dxa"/>
          <w:bottom w:w="28" w:type="dxa"/>
          <w:right w:w="28" w:type="dxa"/>
        </w:tblCellMar>
      </w:tblPr>
      <w:tblGrid>
        <w:gridCol w:w="161"/>
        <w:gridCol w:w="4306"/>
      </w:tblGrid>
      <w:t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5" w:name="tygo-ex32_2.htm"/>
      <w:bookmarkStart w:id="26" w:name="kstygo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September 30, 2026,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November 4, 2026</w:t>
      </w:r>
    </w:p>
    <w:p>
      <w:pPr>
        <w:pStyle w:val="TextBody"/>
        <w:bidi w:val="0"/>
        <w:jc w:val="left"/>
      </w:pPr>
      <w:r>
        <w:t> </w:t>
      </w:r>
    </w:p>
    <w:tbl>
      <w:tblPr>
        <w:tblW w:w="3927" w:type="dxa"/>
        <w:jc w:val="left"/>
        <w:tblInd w:w="0" w:type="dxa"/>
        <w:tblLayout w:type="fixed"/>
        <w:tblCellMar>
          <w:top w:w="28" w:type="dxa"/>
          <w:left w:w="28" w:type="dxa"/>
          <w:bottom w:w="28" w:type="dxa"/>
          <w:right w:w="28" w:type="dxa"/>
        </w:tblCellMar>
      </w:tblPr>
      <w:tblGrid>
        <w:gridCol w:w="161"/>
        <w:gridCol w:w="3766"/>
      </w:tblGrid>
      <w:t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21390026098054/ea030462701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22995</Words>
  <Characters>125972</Characters>
  <CharactersWithSpaces>150024</CharactersWithSpaces>
  <Paragraphs>6144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