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627-8ka1_tigo.htm"/>
      <w:bookmarkStart w:id="1" w:name="ksea03046278ka1_tigo"/>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519__20"/>
      <w:bookmarkEnd w:id="2"/>
      <w:r>
        <w:rPr>
          <w:rFonts w:ascii="Times New Roman;Times;Serif" w:hAnsi="Times New Roman;Times;Serif"/>
          <w:b/>
          <w:i w:val="false"/>
          <w:caps w:val="false"/>
          <w:smallCaps w:val="false"/>
          <w:sz w:val="20"/>
        </w:rPr>
        <w:t>8-K/A</w:t>
      </w:r>
    </w:p>
    <w:p>
      <w:pPr>
        <w:pStyle w:val="TextBody"/>
        <w:bidi w:val="0"/>
        <w:spacing w:before="0" w:after="0"/>
        <w:jc w:val="center"/>
        <w:rPr>
          <w:rFonts w:ascii="Times New Roman;Times;Serif" w:hAnsi="Times New Roman;Times;Serif"/>
          <w:b/>
          <w:i w:val="false"/>
          <w:caps w:val="false"/>
          <w:smallCaps w:val="false"/>
          <w:sz w:val="20"/>
        </w:rPr>
      </w:pPr>
      <w:bookmarkStart w:id="3" w:name="xdx_905_edei--AmendmentDescription_c2026"/>
      <w:bookmarkEnd w:id="3"/>
      <w:r>
        <w:rPr>
          <w:rFonts w:ascii="Times New Roman;Times;Serif" w:hAnsi="Times New Roman;Times;Serif"/>
          <w:b/>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4" w:name="xdx_909_edei--DocumentPeriodEndDate_c202"/>
      <w:bookmarkEnd w:id="4"/>
      <w:r>
        <w:rPr>
          <w:rFonts w:ascii="Times New Roman;Times;Serif" w:hAnsi="Times New Roman;Times;Serif"/>
          <w:b w:val="false"/>
          <w:i w:val="false"/>
          <w:caps w:val="false"/>
          <w:smallCaps w:val="false"/>
          <w:sz w:val="20"/>
        </w:rPr>
        <w:t>May 19,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xdx_907_edei--EntityRegistrantName_c2026"/>
      <w:bookmarkEnd w:id="5"/>
      <w:r>
        <w:rPr>
          <w:rFonts w:ascii="Times New Roman;Times;Serif" w:hAnsi="Times New Roman;Times;Serif"/>
          <w:b/>
          <w:i w:val="false"/>
          <w:caps w:val="false"/>
          <w:smallCaps w:val="false"/>
          <w:sz w:val="20"/>
        </w:rPr>
        <w:t>TIGO ENERGY,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6" w:name="xdx_906_edei--EntityIncorporationStateCo"/>
            <w:bookmarkEnd w:id="6"/>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7" w:name="xdx_907_edei--EntityFileNumber_c20260519"/>
            <w:bookmarkEnd w:id="7"/>
            <w:r>
              <w:rPr>
                <w:b/>
                <w:sz w:val="20"/>
              </w:rPr>
              <w:t>001-40710</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8" w:name="xdx_90E_edei--EntityTaxIdentificationNum"/>
            <w:bookmarkEnd w:id="8"/>
            <w:r>
              <w:rPr>
                <w:b/>
                <w:sz w:val="20"/>
              </w:rPr>
              <w:t>83-3583873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xdx_90C_edei--EntityAddressAddressLine1_"/>
      <w:bookmarkEnd w:id="9"/>
      <w:r>
        <w:rPr>
          <w:rFonts w:ascii="Times New Roman;Times;Serif" w:hAnsi="Times New Roman;Times;Serif"/>
          <w:b/>
          <w:i w:val="false"/>
          <w:caps w:val="false"/>
          <w:smallCaps w:val="false"/>
          <w:sz w:val="20"/>
        </w:rPr>
        <w:t xml:space="preserve">983 University Avenue, </w:t>
      </w:r>
      <w:bookmarkStart w:id="10" w:name="xdx_90C_edei--EntityAddressAddressLine2_"/>
      <w:bookmarkEnd w:id="10"/>
      <w:r>
        <w:rPr>
          <w:rFonts w:ascii="Times New Roman;Times;Serif" w:hAnsi="Times New Roman;Times;Serif"/>
          <w:b/>
          <w:i w:val="false"/>
          <w:caps w:val="false"/>
          <w:smallCaps w:val="false"/>
          <w:sz w:val="20"/>
        </w:rPr>
        <w:t>Suite B</w:t>
      </w:r>
    </w:p>
    <w:p>
      <w:pPr>
        <w:pStyle w:val="TextBody"/>
        <w:bidi w:val="0"/>
        <w:spacing w:before="0" w:after="0"/>
        <w:jc w:val="center"/>
        <w:rPr>
          <w:rFonts w:ascii="Times New Roman;Times;Serif" w:hAnsi="Times New Roman;Times;Serif"/>
          <w:b/>
          <w:i w:val="false"/>
          <w:caps w:val="false"/>
          <w:smallCaps w:val="false"/>
          <w:sz w:val="20"/>
        </w:rPr>
      </w:pPr>
      <w:bookmarkStart w:id="11" w:name="xdx_908_edei--EntityAddressCityOrTown_c2"/>
      <w:bookmarkEnd w:id="11"/>
      <w:r>
        <w:rPr>
          <w:rFonts w:ascii="Times New Roman;Times;Serif" w:hAnsi="Times New Roman;Times;Serif"/>
          <w:b/>
          <w:i w:val="false"/>
          <w:caps w:val="false"/>
          <w:smallCaps w:val="false"/>
          <w:sz w:val="20"/>
        </w:rPr>
        <w:t xml:space="preserve">Los Gatos, </w:t>
      </w:r>
      <w:bookmarkStart w:id="12" w:name="xdx_90B_edei--EntityAddressStateOrProvin"/>
      <w:bookmarkEnd w:id="12"/>
      <w:r>
        <w:rPr>
          <w:rFonts w:ascii="Times New Roman;Times;Serif" w:hAnsi="Times New Roman;Times;Serif"/>
          <w:b/>
          <w:i w:val="false"/>
          <w:caps w:val="false"/>
          <w:smallCaps w:val="false"/>
          <w:sz w:val="20"/>
        </w:rPr>
        <w:t xml:space="preserve">California </w:t>
      </w:r>
      <w:bookmarkStart w:id="13" w:name="xdx_90B_edei--EntityAddressPostalZipCode"/>
      <w:bookmarkEnd w:id="13"/>
      <w:r>
        <w:rPr>
          <w:rFonts w:ascii="Times New Roman;Times;Serif" w:hAnsi="Times New Roman;Times;Serif"/>
          <w:b/>
          <w:i w:val="false"/>
          <w:caps w:val="false"/>
          <w:smallCaps w:val="false"/>
          <w:sz w:val="20"/>
        </w:rPr>
        <w:t>95032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w:t>
      </w:r>
      <w:bookmarkStart w:id="14" w:name="xdx_909_edei--CityAreaCode_c20260519__20"/>
      <w:bookmarkEnd w:id="14"/>
      <w:r>
        <w:rPr>
          <w:rFonts w:ascii="Times New Roman;Times;Serif" w:hAnsi="Times New Roman;Times;Serif"/>
          <w:b/>
          <w:i w:val="false"/>
          <w:caps w:val="false"/>
          <w:smallCaps w:val="false"/>
          <w:sz w:val="20"/>
        </w:rPr>
        <w:t xml:space="preserve">408) </w:t>
      </w:r>
      <w:bookmarkStart w:id="15" w:name="xdx_90C_edei--LocalPhoneNumber_c20260519"/>
      <w:bookmarkEnd w:id="15"/>
      <w:r>
        <w:rPr>
          <w:rFonts w:ascii="Times New Roman;Times;Serif" w:hAnsi="Times New Roman;Times;Serif"/>
          <w:b/>
          <w:i w:val="false"/>
          <w:caps w:val="false"/>
          <w:smallCaps w:val="false"/>
          <w:sz w:val="20"/>
        </w:rPr>
        <w:t>402-0802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A_edei--WrittenCommunications_c202"/>
            <w:bookmarkEnd w:id="16"/>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B_edei--SolicitingMaterial_c202605"/>
            <w:bookmarkEnd w:id="17"/>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6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C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95" w:type="dxa"/>
        <w:jc w:val="left"/>
        <w:tblInd w:w="0" w:type="dxa"/>
        <w:tblLayout w:type="fixed"/>
        <w:tblCellMar>
          <w:top w:w="0" w:type="dxa"/>
          <w:left w:w="0" w:type="dxa"/>
          <w:bottom w:w="28" w:type="dxa"/>
          <w:right w:w="0" w:type="dxa"/>
        </w:tblCellMar>
      </w:tblPr>
      <w:tblGrid>
        <w:gridCol w:w="3755"/>
        <w:gridCol w:w="60"/>
        <w:gridCol w:w="1610"/>
        <w:gridCol w:w="60"/>
        <w:gridCol w:w="3710"/>
      </w:tblGrid>
      <w:tr>
        <w:trPr/>
        <w:tc>
          <w:tcPr>
            <w:tcW w:w="375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755" w:type="dxa"/>
            <w:tcBorders/>
            <w:shd w:fill="CCEEFF" w:val="clear"/>
            <w:tcMar>
              <w:bottom w:w="0" w:type="dxa"/>
            </w:tcMar>
            <w:vAlign w:val="center"/>
          </w:tcPr>
          <w:p>
            <w:pPr>
              <w:pStyle w:val="TableContents"/>
              <w:bidi w:val="0"/>
              <w:spacing w:before="0" w:after="283"/>
              <w:jc w:val="center"/>
              <w:rPr>
                <w:b/>
                <w:sz w:val="20"/>
              </w:rPr>
            </w:pPr>
            <w:bookmarkStart w:id="20" w:name="xdx_901_edei--Security12bTitle_c20260519"/>
            <w:bookmarkEnd w:id="20"/>
            <w:r>
              <w:rPr>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b/>
                <w:sz w:val="20"/>
              </w:rPr>
            </w:pPr>
            <w:bookmarkStart w:id="21" w:name="xdx_90C_edei--TradingSymbol_c20260519__2"/>
            <w:bookmarkEnd w:id="21"/>
            <w:r>
              <w:rPr>
                <w:b/>
                <w:sz w:val="20"/>
              </w:rPr>
              <w:t>TYGO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2" w:name="xdx_904_edei--SecurityExchangeName_c2026"/>
            <w:bookmarkEnd w:id="22"/>
            <w:r>
              <w:rPr>
                <w:b/>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8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5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Board of Directors of Tigo Energy, Inc. (the “Company”) adopted the Tigo Energy, Inc. Employee Stock Purchase Plan (the “ESPP”), to be effective as of the date of Board approval, subject to approval by the Company’s stockholders. As reported in the Current Report on Form 8-K filed by the Company with the Securities and Exchange Commission (the “SEC”) on May 20, 2026, at the Company’s 2026 annual meeting of stockholders held on May 19, 2026, the Company’s stockholders approved the ESPP. The aggregate number of shares of common stock of the Company available for issuance under the ESPP is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features of the ESPP are described in the Company’s definitive proxy statement on Schedule 14A filed with the SEC on April 4, 2026 (the “Proxy Statement”) in the section titled “Proposal 3 – Approval of the Employee Stock Purchase Plan” which is incorporated herein by reference. Such description is qualified entirely by reference to the ESPP, a copy of which is filed as Exhibit 10.1 to this Current Report on Form 8-K and is incorporated herein by reference. Additionally, a copy of the ESPP was filed as Appendix A to the Proxy Statement. As of the date of this Current Report on Form 8-K, no offering period or purchase period has occurred under the ESPP and there are no participants in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360" w:right="0" w:hanging="360"/>
        <w:jc w:val="left"/>
        <w:rPr>
          <w:caps w:val="false"/>
          <w:smallCaps w:val="false"/>
        </w:rPr>
      </w:pPr>
      <w:r>
        <w:rPr>
          <w:caps w:val="false"/>
          <w:smallCaps w:val="false"/>
        </w:rPr>
        <w:t> </w:t>
      </w:r>
    </w:p>
    <w:tbl>
      <w:tblPr>
        <w:tblW w:w="7990" w:type="dxa"/>
        <w:jc w:val="left"/>
        <w:tblInd w:w="0" w:type="dxa"/>
        <w:tblLayout w:type="fixed"/>
        <w:tblCellMar>
          <w:top w:w="0" w:type="dxa"/>
          <w:left w:w="0" w:type="dxa"/>
          <w:bottom w:w="28" w:type="dxa"/>
          <w:right w:w="0" w:type="dxa"/>
        </w:tblCellMar>
      </w:tblPr>
      <w:tblGrid>
        <w:gridCol w:w="1400"/>
        <w:gridCol w:w="60"/>
        <w:gridCol w:w="6530"/>
      </w:tblGrid>
      <w:tr>
        <w:trPr/>
        <w:tc>
          <w:tcPr>
            <w:tcW w:w="1400"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1400" w:type="dxa"/>
            <w:tcBorders/>
            <w:shd w:fill="CCEEFF" w:val="clear"/>
            <w:tcMar>
              <w:bottom w:w="0" w:type="dxa"/>
            </w:tcMar>
            <w:vAlign w:val="center"/>
          </w:tcPr>
          <w:p>
            <w:pPr>
              <w:pStyle w:val="TableContents"/>
              <w:bidi w:val="0"/>
              <w:spacing w:before="0" w:after="283"/>
              <w:jc w:val="both"/>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462701ex10-1.htm">
              <w:r>
                <w:rPr>
                  <w:rStyle w:val="InternetLink"/>
                  <w:strike w:val="false"/>
                  <w:dstrike w:val="false"/>
                  <w:sz w:val="20"/>
                  <w:u w:val="none"/>
                  <w:effect w:val="none"/>
                </w:rPr>
                <w:t>Tigo Energy, Inc. Employee Stock Purchase Plan.</w:t>
              </w:r>
            </w:hyperlink>
          </w:p>
        </w:tc>
      </w:tr>
      <w:tr>
        <w:trPr/>
        <w:tc>
          <w:tcPr>
            <w:tcW w:w="1400"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70"/>
        <w:gridCol w:w="5105"/>
      </w:tblGrid>
      <w:tr>
        <w:trPr/>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Indicates management contract or compensatory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8, 2026</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b/>
                <w:sz w:val="20"/>
              </w:rPr>
            </w:pPr>
            <w:r>
              <w:rPr>
                <w:b/>
                <w:sz w:val="20"/>
              </w:rPr>
              <w:t>TIGO ENERGY, INC.</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Bill Roeschlein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895" w:type="dxa"/>
            <w:tcBorders/>
            <w:vAlign w:val="center"/>
          </w:tcPr>
          <w:p>
            <w:pPr>
              <w:pStyle w:val="TableContents"/>
              <w:bidi w:val="0"/>
              <w:spacing w:before="0" w:after="283"/>
              <w:jc w:val="left"/>
              <w:rPr>
                <w:sz w:val="20"/>
              </w:rPr>
            </w:pPr>
            <w:r>
              <w:rPr>
                <w:sz w:val="20"/>
              </w:rPr>
              <w:t>Bill Roeschlein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ea030462701ex10-1.htm"/>
      <w:bookmarkStart w:id="26" w:name="ksea030462701ex101"/>
      <w:bookmarkEnd w:id="25"/>
      <w:bookmarkEnd w:id="26"/>
      <w:r>
        <w:rPr>
          <w:b/>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 EMPLOYEE STOCK PURCHASE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Purpose.</w:t>
      </w:r>
      <w:r>
        <w:rPr>
          <w:rFonts w:ascii="Times New Roman;Times;Serif" w:hAnsi="Times New Roman;Times;Serif"/>
          <w:b w:val="false"/>
          <w:i w:val="false"/>
          <w:caps w:val="false"/>
          <w:smallCaps w:val="false"/>
          <w:sz w:val="20"/>
        </w:rPr>
        <w:t xml:space="preserve"> This Tigo Energy, Inc. Employee Stock Purchase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is intended to provide Eligible Employees of the Company and the Participating Companies with an opportunity to acquire a proprietary interest in the Company through the purchase of Shares. The Plan has two components: (a) one component (the “</w:t>
      </w:r>
      <w:r>
        <w:rPr>
          <w:rFonts w:ascii="Times New Roman;Times;Serif" w:hAnsi="Times New Roman;Times;Serif"/>
          <w:b/>
          <w:i w:val="false"/>
          <w:caps w:val="false"/>
          <w:smallCaps w:val="false"/>
          <w:sz w:val="20"/>
        </w:rPr>
        <w:t>423 Component</w:t>
      </w:r>
      <w:r>
        <w:rPr>
          <w:rFonts w:ascii="Times New Roman;Times;Serif" w:hAnsi="Times New Roman;Times;Serif"/>
          <w:b w:val="false"/>
          <w:i w:val="false"/>
          <w:caps w:val="false"/>
          <w:smallCaps w:val="false"/>
          <w:sz w:val="20"/>
        </w:rPr>
        <w:t>”) is intended to qualify as an “employee stock purchase plan” under Section 423(b) of the Code, and the Plan will be interpreted in a manner that is consistent with that intent, and (b) the other component (the “</w:t>
      </w:r>
      <w:r>
        <w:rPr>
          <w:rFonts w:ascii="Times New Roman;Times;Serif" w:hAnsi="Times New Roman;Times;Serif"/>
          <w:b/>
          <w:i w:val="false"/>
          <w:caps w:val="false"/>
          <w:smallCaps w:val="false"/>
          <w:sz w:val="20"/>
        </w:rPr>
        <w:t>Non-423 Component</w:t>
      </w:r>
      <w:r>
        <w:rPr>
          <w:rFonts w:ascii="Times New Roman;Times;Serif" w:hAnsi="Times New Roman;Times;Serif"/>
          <w:b w:val="false"/>
          <w:i w:val="false"/>
          <w:caps w:val="false"/>
          <w:smallCaps w:val="false"/>
          <w:sz w:val="20"/>
        </w:rPr>
        <w:t>”), which is not intended to qualify as an “employee stock purchase plan” under Section 423 of the Code, authorizes the grant of options pursuant to rules, procedures or sub-plans adopted by the Committee that are designed to achieve tax, securities laws or other objectives for Eligible Employees. Rights granted under the Non-423 Component shall be granted pursuant to separate Offerings containing such sub-plans, appendices, rules or procedures as may be adopted by the Committee and designed to achieve tax, securities laws or other objectives for Eligible Employees and Participating Companies but shall not be intended to qualify as an “employee stock purchase plan” under Section 423 of the Code. Except as otherwise provided herein or as may be determined by the Committee, the Non-423 Component will operate and be administered in the same manner as the 423 Component. Offerings intended to be made under the Non-423 Component will be designated as such by the Committee at or prior to the time of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Plan, the Committee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423 Component (as determined under Section 423 of the Code). Solely by way of example and without limiting the foregoing, the Company could, but shall not be required to, provide for simultaneous Offerings under the 423 Component and the Non-423 Component of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caps w:val="false"/>
          <w:smallCaps w:val="false"/>
          <w:sz w:val="20"/>
        </w:rPr>
        <w:t>Definitions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Wherever the following terms are used in the Plan, they shall have the meanings specified below unless the context clearly indicates otherwise.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entity that, directly or indirectly through one or more intermediaries, controls, is controlled by, or is under common control with, the Company.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the requirements relating to the administration of employee stock purchase plans under U.S. federal and state securities, tax and other applicable laws, rules and regulations, the applicable rules of any stock exchange or quotation system on which Shares are listed or quoted and the applicable laws and rules of any non-U.S. country or other jurisdiction where rights under the Plan are granted.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 and the rules, regulations and guidance thereunder. Any reference to a provision in the Code shall include any successor provision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means a committee of the Board established or appointed by the Board to administer the Plan. If the Board does not designate such committee, references herein to the “Committee” shall refer to the Board.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Tigo Energy, Inc., a Delaware corporation, including any successor thereto.</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 means all base salary, wages, annual bonuses and commissions paid to an Eligible Employee by the Company or a Participating Company as compensation for services to the Company or Participating Company, before deduction for any salary deferral contributions made by the Eligible Employee to any tax-qualified or nonqualified deferred compensation plan, including overtime, vacation pay, holiday pay, parental leave pay, jury duty pay and funeral leave pay, but excluding car allowances, transit payments, relocation assistance, reimbursements (such as travel expenses, financial planning, tuition assistance, adoption assistance and similar reimbursements and advances), imputed income, cost-of-living allowances, tax gross-ups, nonqualified deferred compensation plan payments, severance or termination pay, third party sick pay, income relating to equity or equity-based compensation, cash incentive compensation, commissions, special cash awards or bonuses (such as recognition awards or referral bonuses), and other irregular and special payments that are non-recurring, and income received in connection with stock options or other equity-based awards.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Corporate Transaction</w:t>
      </w:r>
      <w:r>
        <w:rPr>
          <w:rFonts w:ascii="Times New Roman;Times;Serif" w:hAnsi="Times New Roman;Times;Serif"/>
          <w:b w:val="false"/>
          <w:i w:val="false"/>
          <w:caps w:val="false"/>
          <w:smallCaps w:val="false"/>
          <w:sz w:val="20"/>
        </w:rPr>
        <w:t>” means a merger, consolidation, acquisition of property or stock, separation, reorganization or other corporate event described in Section 424 of the Code.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Designated Broker</w:t>
      </w:r>
      <w:r>
        <w:rPr>
          <w:rFonts w:ascii="Times New Roman;Times;Serif" w:hAnsi="Times New Roman;Times;Serif"/>
          <w:b w:val="false"/>
          <w:i w:val="false"/>
          <w:caps w:val="false"/>
          <w:smallCaps w:val="false"/>
          <w:sz w:val="20"/>
        </w:rPr>
        <w:t>” means the financial services firm or other agent designated by the Company to maintain ESPP Share Accounts on behalf of Participants who have purchased Shares under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March 25, 2026, subject to and conditioned on approval by the shareholders of the Company in accordance with ‎Section 20(k) of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Employee</w:t>
      </w:r>
      <w:r>
        <w:rPr>
          <w:rFonts w:ascii="Times New Roman;Times;Serif" w:hAnsi="Times New Roman;Times;Serif"/>
          <w:b w:val="false"/>
          <w:i w:val="false"/>
          <w:caps w:val="false"/>
          <w:smallCaps w:val="false"/>
          <w:sz w:val="20"/>
        </w:rPr>
        <w:t>” means: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the 423 Component, an Employee who (i) has been employed by the Company or a Participating Company for at least six (6) months and (ii) is customarily employed for at least twenty (20) hours per week and more than five (5) months in any calendar year.</w:t>
      </w:r>
    </w:p>
    <w:p>
      <w:pPr>
        <w:pStyle w:val="TextBody"/>
        <w:bidi w:val="0"/>
        <w:spacing w:before="0" w:after="0"/>
        <w:ind w:left="0" w:right="0" w:firstLine="874"/>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the Non-423 Component, such Employees as determined by the Committee;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Employee may qualify as an Eligible Employee under the Non-423 Component if such Employee is subject to taxation in the United States.</w:t>
      </w:r>
    </w:p>
    <w:p>
      <w:pPr>
        <w:pStyle w:val="TextBody"/>
        <w:bidi w:val="0"/>
        <w:spacing w:before="0" w:after="0"/>
        <w:ind w:left="0" w:right="0" w:firstLine="87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any person who renders services to the Company or a Participating Company as an employee pursuant to an employment relationship with such employer, and, with respect to the 423 Component, a person who is an employee within the meaning of Section 3401(c) of the Code. For purposes of the Plan, the employment relationship shall be treated as continuing intact while the individual is on military leave, sick leave or other leave of absence approved by the Company or a Participating Company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Enrollment Form</w:t>
      </w:r>
      <w:r>
        <w:rPr>
          <w:rFonts w:ascii="Times New Roman;Times;Serif" w:hAnsi="Times New Roman;Times;Serif"/>
          <w:b w:val="false"/>
          <w:i w:val="false"/>
          <w:caps w:val="false"/>
          <w:smallCaps w:val="false"/>
          <w:sz w:val="20"/>
        </w:rPr>
        <w:t>” means an agreement pursuant to which an Eligible Employee may elect to enroll in the Plan, to authorize a new level of payroll deductions, or to stop payroll deductions and withdraw from an Offering Period.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ESPP Share Account</w:t>
      </w:r>
      <w:r>
        <w:rPr>
          <w:rFonts w:ascii="Times New Roman;Times;Serif" w:hAnsi="Times New Roman;Times;Serif"/>
          <w:b w:val="false"/>
          <w:i w:val="false"/>
          <w:caps w:val="false"/>
          <w:smallCaps w:val="false"/>
          <w:sz w:val="20"/>
        </w:rPr>
        <w:t>” means an account into which Shares purchased with accumulated payroll deductions at the end of an Offering Period are held on behalf of a Participant.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from time to time, and the rules, regulations and guidance thereunder. Any reference to a provision in the Exchange Act shall include any successor provision thereto.</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as of any date, the closing price of a Share on the Trading Day immediately preceding the date of determination (or, if there is no reported sale on such date, on the last preceding date on which any reported sale occurred), on the principal stock market or exchange on which Shares are quoted or traded, or if Shares are not so quoted or traded, the fair market value of a Share as determined by the Committee in its discretion and such determination shall be conclusive and binding on all persons.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means an offer under the Plan of a right to purchase Shares that may be exercised during an Offering Period. Unless otherwise specified by the Committee,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423 Component need not be identical, provided that the terms of the 423 Component and an Offering thereunder together satisfy Treas. Reg. § 1.423-2(a)(2) and (a)(3).</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Offering Date</w:t>
      </w:r>
      <w:r>
        <w:rPr>
          <w:rFonts w:ascii="Times New Roman;Times;Serif" w:hAnsi="Times New Roman;Times;Serif"/>
          <w:b w:val="false"/>
          <w:i w:val="false"/>
          <w:caps w:val="false"/>
          <w:smallCaps w:val="false"/>
          <w:sz w:val="20"/>
        </w:rPr>
        <w:t>” means the first Trading Day of each Offering Period as designated by the Committee.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Offering Period</w:t>
      </w:r>
      <w:r>
        <w:rPr>
          <w:rFonts w:ascii="Times New Roman;Times;Serif" w:hAnsi="Times New Roman;Times;Serif"/>
          <w:b w:val="false"/>
          <w:i w:val="false"/>
          <w:caps w:val="false"/>
          <w:smallCaps w:val="false"/>
          <w:sz w:val="20"/>
        </w:rPr>
        <w:t>” has the meaning set forth in ‎Section 5.</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Offering Period Limit</w:t>
      </w:r>
      <w:r>
        <w:rPr>
          <w:rFonts w:ascii="Times New Roman;Times;Serif" w:hAnsi="Times New Roman;Times;Serif"/>
          <w:b w:val="false"/>
          <w:i w:val="false"/>
          <w:caps w:val="false"/>
          <w:smallCaps w:val="false"/>
          <w:sz w:val="20"/>
        </w:rPr>
        <w:t>” has the meaning set forth in Section ‎Section 7.</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an Eligible Employee who is actively participating in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Participating Companies</w:t>
      </w:r>
      <w:r>
        <w:rPr>
          <w:rFonts w:ascii="Times New Roman;Times;Serif" w:hAnsi="Times New Roman;Times;Serif"/>
          <w:b w:val="false"/>
          <w:i w:val="false"/>
          <w:caps w:val="false"/>
          <w:smallCaps w:val="false"/>
          <w:sz w:val="20"/>
        </w:rPr>
        <w:t xml:space="preserve">” means the Subsidiaries and Affiliates that have been designated as eligible to participate in the Plan, and such other Subsidiaries and Affiliates that may be designated by the Committee from time to time in its sole discretion. For purposes of the 423 Component, only the Company and its Subsidiaries may be Participating Companies;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at any given time, a Subsidiary that is a Participating Company under the 423 Component will not be a Participating Company under the Non-423 Component. The Committee may so designate any Subsidiary or Affiliate, or revoke any such designation, at any time and from time to time, either before or after the Plan is approved by the shareholders of the Company.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this Tigo Energy, Inc. Employee Stock Purchase Plan, as set forth herein, and as amended from time to time.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Purchase Date</w:t>
      </w:r>
      <w:r>
        <w:rPr>
          <w:rFonts w:ascii="Times New Roman;Times;Serif" w:hAnsi="Times New Roman;Times;Serif"/>
          <w:b w:val="false"/>
          <w:i w:val="false"/>
          <w:caps w:val="false"/>
          <w:smallCaps w:val="false"/>
          <w:sz w:val="20"/>
        </w:rPr>
        <w:t>” means the last Trading Day of each Offering Period.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xml:space="preserve">” means the purchase price designated by the Committee with respect to each Offering (which purchase price, for purposes of the 423 Component, shall not be less than 85% of the Fair Market Value of a Share on the Offering Date or on the Purchase Date, whichever is lower);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no purchase price is designated by the Committee with respect to any Offering, the purchase price for the Offering Periods in such Offering shall be 85% of the Fair Market Value of a Share on the Offering Date or on the Purchase Date, whichever is lower; provided, further, that the Purchase Price may be adjusted by the Committee pursuant to ‎Section 18 of the Plan and shall not be less than the par value of a Share.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provision Act of 1933, as amended from time to time, and the rules, regulations and guidance thereunder. Any reference to a provision in the Securities Act includes any successor thereof.</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of common stock of the Company, par value $0.001 per share.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national stock exchange upon which the Shares are listed is open for trading or, if the Shares are not listed on an established stock exchange or national market system, a business day, as determined by the Committee in good faith.</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Treasury Regulation</w:t>
      </w:r>
      <w:r>
        <w:rPr>
          <w:rFonts w:ascii="Times New Roman;Times;Serif" w:hAnsi="Times New Roman;Times;Serif"/>
          <w:b w:val="false"/>
          <w:i w:val="false"/>
          <w:caps w:val="false"/>
          <w:smallCaps w:val="false"/>
          <w:sz w:val="20"/>
        </w:rPr>
        <w:t>” means the Treasury regulations of the Code. Any reference to a provision in a Treasury regulation includes any successor provision thereto.</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Administration of Plan. The Plan shall be administered by the Committee which shall have the authority to construe and interpret the Plan, prescribe, amend and rescind rules relating to the Plan’s administration and take any other actions necessary or desirable for the administration of the Plan including, without limitation, adopting sub-plans applicable to particular Participating Companies or locations, which sub-plans may be designed to be outside the scope of Section 423 of the Code and under the Non-423 Component. With respect to the Non-423 Component, the rules of such sub-plans may take precedence over other provisions of the Plan, with the exception of Section 13 hereof, but unless otherwise superseded by the terms of such sub-plan, the provisions of the Plan shall govern the operation of such sub-plan. The Committee may correct any defect or supply any omission or reconcile any inconsistency or ambiguity in the Plan. The decisions of the Committee shall be final and binding on all persons. All expenses of administering the Plan shall be borne by the Company. Notwithstanding anything in the Plan to the contrary and without limiting the generality of the foregoing, the Committee shall have the authority to change the minimum amount of Compensation for payroll deductions pursuant to ‎Section 6(a) of the Plan, the frequency with which a Participant may elect to change their rate of payroll deductions pursuant to ‎Section 6(b), the dates by which a Participant is required to submit an Enrollment Form pursuant to ‎Sections 6(b) ‎and 10(a) of the Plan, and the effective date of a Participant’s withdrawal due to termination of employment or change in status pursuant to ‎Section 11, and the withholding procedures pursuant to ‎Section 20(n).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Delegation of Authority. To the extent permitted by Applicable Law, the Committee may delegate to (i) one or more officers of the Company some or all of its authority under the Plan and (ii) one or more committees of the Board some or all of its authority under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In order to participate in an Offering, an Eligible Employee must deliver a completed Enrollment Form to the Company at least five (5) business days prior to the Offering Date (unless a different time is set by the Committee for all Eligible Employees with respect to such Offering) and must elect his or her payroll deduction rate as described in ‎Section 6. 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 in accordance with the provisions of Section 423(b)(8) of the Code.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caps w:val="false"/>
          <w:smallCaps w:val="false"/>
          <w:sz w:val="20"/>
        </w:rPr>
        <w:t>Offering Periods</w:t>
      </w:r>
      <w:r>
        <w:rPr>
          <w:rFonts w:ascii="Times New Roman;Times;Serif" w:hAnsi="Times New Roman;Times;Serif"/>
          <w:b w:val="false"/>
          <w:i w:val="false"/>
          <w:caps w:val="false"/>
          <w:smallCaps w:val="false"/>
          <w:sz w:val="20"/>
        </w:rPr>
        <w:t>. The Plan shall be implemented by a series of Offering Periods, each of which shall be six (6) months in duration, with new Offering Periods commencing on or about March 1 and September 1 of each year (or such other times as determined by the Committee). The Committee shall have, prior to the commencement of a particular Offering Period, the authority to change the duration, frequency, start and end dates of Offering Periods (subject to a maximum Offering Period of twenty-seven (27) months).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caps w:val="false"/>
          <w:smallCaps w:val="false"/>
          <w:sz w:val="20"/>
        </w:rPr>
        <w:t>Participation</w:t>
      </w:r>
      <w:r>
        <w:rPr>
          <w:rFonts w:ascii="Times New Roman;Times;Serif" w:hAnsi="Times New Roman;Times;Serif"/>
          <w:b w:val="false"/>
          <w:i w:val="false"/>
          <w:caps w:val="false"/>
          <w:smallCaps w:val="false"/>
          <w:sz w:val="20"/>
        </w:rPr>
        <w: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Enrollment; Payroll Deductions.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which may be electronic, the Eligible Employee authorizes payroll deductions from his or her pay check in an amount equal to at least one percent (1%), but not more than twenty percent (20%) of his or her Compensation on each pay day occurring during an Offering Period (or such other maximum percentage as the Committee may establish from time to time before an Offering Period begins). Payroll deductions shall commence as soon as practicable following the Offering Date and end on the latest practicable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Election Changes. During an Offering Period, a Participant may decrease or increase his or her rate of payroll deductions applicable to such Offering Period only once. To make such a change, the Participant must submit a new Enrollment Form authorizing the new rate of payroll deductions at least fifteen (15) days before the Purchase Date. A Participant may decrease or increase his or her rate of payroll deductions for future Offering Periods by submitting a new Enrollment Form authorizing the new rate of payroll deductions at least fifteen days before the start of the next Offering Period.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Automatic Re-enrollment. The deduction rate selected in the Enrollment Form shall remain in effect for subsequent Offering Periods unless the Participant (i) submits a new Enrollment Form authorizing a new level of payroll deductions in accordance with this ‎Section 6, (ii) withdraws from the Plan in accordance with ‎Section 10, or (iii) terminates employment or otherwise becomes ineligible to participate in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Non-U.S. Employees. In order to facilitate participation in the Plan, the Committee may provide for such special terms applicable to Participants who are citizens or residents of a non-U.S. jurisdiction, or who are employed by a Participating Company outside of the United States, as the Committee may consider necessary or appropriate to accommodate differences in local law, tax policy or custom. Except as permitted by Section 423 of the Code, with respect to the 423 Component, such special terms may not be more favorable than the terms of rights granted under the 423 Component to Eligible Employees who are residents of the United States. Such special terms may be set forth in an addendum to the Plan in the form of an appendix or sub-plan (which appendix or sub-plan may be designed to govern Offerings under the 423 Component or the Non-423 Component, as determined by the Committee). With respect to the Non-423 Component only, to the extent that the terms and conditions set forth in an appendix or sub-plan conflict with any provisions of the Plan, the provisions of the appendix or sub-plan shall govern. Without limiting the foregoing, the Committee is specifically authorized to adopt rules and procedures, with respect to Participants who are non-U.S.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caps w:val="false"/>
          <w:smallCaps w:val="false"/>
          <w:sz w:val="20"/>
        </w:rPr>
        <w:t>Grant of Option</w:t>
      </w:r>
      <w:r>
        <w:rPr>
          <w:rFonts w:ascii="Times New Roman;Times;Serif" w:hAnsi="Times New Roman;Times;Serif"/>
          <w:b w:val="false"/>
          <w:i w:val="false"/>
          <w:caps w:val="false"/>
          <w:smallCaps w:val="false"/>
          <w:sz w:val="20"/>
        </w:rPr>
        <w:t xml:space="preserve">. On each Offering Date, each Participant in the applicable Offering Period shall be granted an option to purchase, on the Purchase Date, a number of Shares determined by dividing the Participant’s accumulated payroll deductions by the applicable Purchase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maximum number of Shares that may be purchased by each Participant during an Offering Period shall not exceed 25,000 Shares (subject to adjustment in accordance with ‎Section 18 and the limitations set forth in ‎Section 4 and ‎Section 13 of the Plan) (the “</w:t>
      </w:r>
      <w:r>
        <w:rPr>
          <w:rFonts w:ascii="Times New Roman;Times;Serif" w:hAnsi="Times New Roman;Times;Serif"/>
          <w:b/>
          <w:i w:val="false"/>
          <w:caps w:val="false"/>
          <w:smallCaps w:val="false"/>
          <w:sz w:val="20"/>
        </w:rPr>
        <w:t>Offering Period Limit</w:t>
      </w:r>
      <w:r>
        <w:rPr>
          <w:rFonts w:ascii="Times New Roman;Times;Serif" w:hAnsi="Times New Roman;Times;Serif"/>
          <w:b w:val="false"/>
          <w:i w:val="false"/>
          <w:caps w:val="false"/>
          <w:smallCaps w:val="false"/>
          <w:sz w:val="20"/>
        </w:rPr>
        <w: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caps w:val="false"/>
          <w:smallCaps w:val="false"/>
          <w:sz w:val="20"/>
        </w:rPr>
        <w:t>Exercise of Option/Purchase of Shares</w:t>
      </w:r>
      <w:r>
        <w:rPr>
          <w:rFonts w:ascii="Times New Roman;Times;Serif" w:hAnsi="Times New Roman;Times;Serif"/>
          <w:b w:val="false"/>
          <w:i w:val="false"/>
          <w:caps w:val="false"/>
          <w:smallCaps w:val="false"/>
          <w:sz w:val="20"/>
        </w:rPr>
        <w:t>. A Participant’s option to purchase Shares will be exercised automatically on the Purchase Date of each Offering Period. The Participant’s accumulated payroll deductions will be used to purchase the maximum number of whole Shares that can be purchased with the amounts in the Participant’s notional account, subject to the Offering Period Limit and the limitations set forth in ‎Section 4 and ‎Section 13 of the Plan. No fractional Shares may be purchased, but contributions unused in a given Offering Period due to being less than the cost of a Share will be carried forward to the next Offering Period, subject to earlier withdrawal by the Participant in accordance with ‎Section 10 or termination of employment or change in employment status in accordance with ‎Section 11. During a Participant’s lifetime, the Participant’s option to purchase Shares under the Plan is exercisable only by the Participant.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caps w:val="false"/>
          <w:smallCaps w:val="false"/>
          <w:sz w:val="20"/>
        </w:rPr>
        <w:t>Transfer of Shares</w:t>
      </w:r>
      <w:r>
        <w:rPr>
          <w:rFonts w:ascii="Times New Roman;Times;Serif" w:hAnsi="Times New Roman;Times;Serif"/>
          <w:b w:val="false"/>
          <w:i w:val="false"/>
          <w:caps w:val="false"/>
          <w:smallCaps w:val="false"/>
          <w:sz w:val="20"/>
        </w:rPr>
        <w:t>. As soon as administratively practicable after each Purchase Date, the Company will arrange for the delivery to each Participant of the Shares purchased upon exercise of his or her option. The Committee may permit or require that the Shares be deposited directly into an ESPP Share Account established in the name of the Participant with a Designated Broker and may require that the Shares be retained with such Designated Broker for a specified period of time. Participants will not have any voting, dividend or other rights of a shareholder with respect to the Shares subject to any option granted hereunder until such Shares have been delivered pursuant to this ‎Section 9.</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caps w:val="false"/>
          <w:smallCaps w:val="false"/>
          <w:sz w:val="20"/>
        </w:rPr>
        <w:t>Withdrawal</w:t>
      </w:r>
      <w:r>
        <w:rPr>
          <w:rFonts w:ascii="Times New Roman;Times;Serif" w:hAnsi="Times New Roman;Times;Serif"/>
          <w:b w:val="false"/>
          <w:i w:val="false"/>
          <w:caps w:val="false"/>
          <w:smallCaps w:val="false"/>
          <w:sz w:val="20"/>
        </w:rPr>
        <w: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Withdrawal Procedure. A Participant may withdraw from an Offering by submitting to the Company a revised Enrollment Form indicating his or her election to withdraw at least fifteen (15) days before the Purchase Date. The accumulated payroll deductions held on behalf of a Participant in his or her notional account (that have not been used to purchase Shares)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6(a) of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 on Succeeding Offering Periods. A Participant’s election to withdraw from an Offering Period will not have any effect upon his or her eligibility to participate in succeeding Offering Periods that commence following the completion of the Offering Period from which the Participant withdraws.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caps w:val="false"/>
          <w:smallCaps w:val="false"/>
          <w:sz w:val="20"/>
        </w:rPr>
        <w:t>Termination of Employment; Change in Employment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‎Section 10, upon termination of a Participant’s employment for any reason prior to the Purchase Date, including death, disability or retirement, or a change in the Participant’s employment status following which the Participant is no longer an Eligible Employee, the Participant will be deemed to have withdrawn from an Offering in accordance with ‎Section 10 and the payroll deductions in the Participant’s notional account (that have not been used to purchase Shares) shall be returned to the Participant, or in the case of the Participant’s death, to the person(s) entitled to such amounts by will or the laws of descent and distribution, and the Participant’s option to purchase Shares shall be automatically terminated. If the Participant’s termination of employment or change in status occurs within ten (10) days before a Purchase Date, the accumulated payroll deductions shall be used to purchase Shares on the Purchase Date.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determined by the Committee, a Participant whose employment transfers or whose employment terminates with an immediate rehire (with no break in service) by or between the Company or a Participating Company will not be treated as having terminated employment for purposes of participating in the Plan or an Offering; however, if a Participant transfers from an Offering under the 423 Component to an Offering under the Non-423 Component, the exercise of the Participant’s option to purchase Shares will be qualified under the 423 Component only to the extent that such exercise complies with Section 423 of the Code. If a Participant transfers from an Offering under the Non-423 Component to an Offering under the 423 Component, the exercise of the Participant’s option to purchase Shares will remain non-qualified under the Non-423 Component.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No interest shall accrue on or be payable with respect to the payroll deductions of a Participant in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caps w:val="false"/>
          <w:smallCaps w:val="false"/>
          <w:sz w:val="20"/>
        </w:rPr>
        <w:t>Shares Reserved for Plan</w:t>
      </w:r>
      <w:r>
        <w:rPr>
          <w:rFonts w:ascii="Times New Roman;Times;Serif" w:hAnsi="Times New Roman;Times;Serif"/>
          <w:b w:val="false"/>
          <w:i w:val="false"/>
          <w:caps w:val="false"/>
          <w:smallCaps w:val="false"/>
          <w:sz w:val="20"/>
        </w:rPr>
        <w: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Shares. The maximum number of Shares available for issuance under the Plan shall initially not exceed in the aggregate 1,000,000 Shares, subject to adjustment as provided in ‎Section 18. The Shares may be newly issued Shares, treasury Shares or Shares acquired on the open market. If any purchase of Shares pursuant to an option under the Plan is not consummated, the Shares not purchased under such option will again become available for issuance under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Over-subscribed Offerings. The number of Shares which a Participant may purchase in an Offering under the Plan may be reduced if the Offering is over-subscribed. No option granted under the Plan shall permit a Participant to purchase Shares which, if added together with the total number of Shares purchased by all other Participants in such Offering would exceed the total number of Shares remaining available under the Plan. If the Committee determines that, on a particular Purchase Date, the number of Shares with respect to which options are to be exercised exceeds the number of Shares then available under the Plan, the Company shall make a pro rata allocation of the Shares remaining available for purchase in as uniform a manner as practicable and as the Committee determines to be equitable.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No payroll deductions credited to a Participant, nor any rights with respect to the exercise of an option or any rights to receive Shares hereunder may be assigned, transferred, pledged or otherwise disposed of in any way (other than by will or the laws of descent and distribution, or as provided in ‎Section 17) by the Participant. Any attempt to assign, transfer, pledge or otherwise dispose of such rights or amounts shall be without effect.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caps w:val="false"/>
          <w:smallCaps w:val="false"/>
          <w:sz w:val="20"/>
        </w:rPr>
        <w:t>Application of Funds</w:t>
      </w:r>
      <w:r>
        <w:rPr>
          <w:rFonts w:ascii="Times New Roman;Times;Serif" w:hAnsi="Times New Roman;Times;Serif"/>
          <w:b w:val="false"/>
          <w:i w:val="false"/>
          <w:caps w:val="false"/>
          <w:smallCaps w:val="false"/>
          <w:sz w:val="20"/>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caps w:val="false"/>
          <w:smallCaps w:val="false"/>
          <w:sz w:val="20"/>
        </w:rPr>
        <w:t>Statements</w:t>
      </w:r>
      <w:r>
        <w:rPr>
          <w:rFonts w:ascii="Times New Roman;Times;Serif" w:hAnsi="Times New Roman;Times;Serif"/>
          <w:b w:val="false"/>
          <w:i w:val="false"/>
          <w:caps w:val="false"/>
          <w:smallCaps w:val="false"/>
          <w:sz w:val="20"/>
        </w:rPr>
        <w:t>. Participants will be provided with statements at least annually which shall set forth the contributions made by the Participant to the Plan, the Purchase Price of any Shares purchased with accumulated funds, the number of Shares purchased, and any payroll deduction amounts remaining in the Participant’s notional account.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caps w:val="false"/>
          <w:smallCaps w:val="false"/>
          <w:sz w:val="20"/>
        </w:rPr>
        <w:t>Designation of Beneficiary</w:t>
      </w:r>
      <w:r>
        <w:rPr>
          <w:rFonts w:ascii="Times New Roman;Times;Serif" w:hAnsi="Times New Roman;Times;Serif"/>
          <w:b w:val="false"/>
          <w:i w:val="false"/>
          <w:caps w:val="false"/>
          <w:smallCaps w:val="false"/>
          <w:sz w:val="20"/>
        </w:rPr>
        <w:t>. If permitted by the Committee, a Participant may file, on forms supplied by the Committee, a written designation of beneficiary who, in the event of the Participant’s death, is to receive any Shares from the Participant’s ESPP Share Account or any payroll deduction amounts remaining in the Participant’s notional account.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caps w:val="false"/>
          <w:smallCaps w:val="false"/>
          <w:sz w:val="20"/>
        </w:rPr>
        <w:t>Adjustments Upon Changes in Capitalization; Dissolution or Liquidation; Corporate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Adjustments. In the event that any dividend or other distribution (whether in the form of cash, Shares, or other property), recapitalization, stock split, reverse stock split, reorganization, merger, consolidation, split-up, spin-off, combination, repurchase, or exchange of Shares or other securities of the Company, or other change in the Company’s structure affecting the Shares occurs, then in order to prevent dilution or enlargement of the benefits or potential benefits intended to be made available under the Plan, the Committee will, in such manner as it deems equitable, adjust the number of Shares and class of Shares that may be delivered under the Plan, the Purchase Price per Share and the number of Shares covered by each outstanding option under the Plan, and the numerical limits of ‎Section 7 and ‎Section 13.</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Dissolution or Liquidation.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 (or deemed to have withdrawn in accordance with ‎Section 11).</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Corporate Transaction.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date, the Participant has withdrawn (or, pursuant to ‎Section 11, been deemed to have withdrawn) from the Offering in accordance with ‎Section 10. Notwithstanding the foregoing, in the event of a Corporate Transaction, the Committee may also elect to terminate all outstanding Offering Periods in accordance with ‎Section 20(i).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w:t>
      </w:r>
      <w:r>
        <w:rPr>
          <w:rFonts w:ascii="Times New Roman;Times;Serif" w:hAnsi="Times New Roman;Times;Serif"/>
          <w:b w:val="false"/>
          <w:i/>
          <w:caps w:val="false"/>
          <w:smallCaps w:val="false"/>
          <w:sz w:val="20"/>
        </w:rPr>
        <w:t>General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Equal Rights and Privileges. Notwithstanding any provision of the Plan to the contrary and in accordance with Section 423 of the Code, all Eligible Employees who are granted options under the Plan shall have the same rights and privileges.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Right to Continued Service. Neither the Plan nor any compensation paid hereunder will confer on any Participant the right to continue as an Employee or in any other capacity.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Rights as Shareholder. A Participant will become a shareholder with respect to the Shares that are purchased pursuant to options granted under the Plan when the Shares are transferred to the Participant or, if applicable, to the Participant’s ESPP Share Account. A Participant will have no rights as a shareholder with respect to Shares for which an election to participate in an Offering Period has been made until such Participant becomes a shareholder as provided herein.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Successors and Assigns. The Plan shall be binding on the Company and its successors and assigns.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Entire Plan. The Plan constitutes the entire plan with respect to the subject matter hereof and supersedes all prior plans with respect to the subject matter hereof.</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Compliance with Law. The obligations of the Company with respect to payments under the Plan are subject to compliance with all Applicable Laws and regulations. Shares shall not be issued with respect to an option granted under the Plan unless the exercise of such option and the issuance and delivery of the Shares pursuant thereto shall comply with all Applicable Laws, including, without limitation, the Securities Act, the Exchange Act, and the requirements of any stock exchange upon which the Shares may then be listed.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Disqualifying Dispositions. Each Participant shall give the Company prompt written notice of any disposition or other transfer of Shares acquired pursuant to the exercise of an option acquired under the Plan, if such disposition or transfer is made within two years after the Offering Date or within one year after the Purchase Date. Notwithstanding the foregoing, Participants shall not transfer Shares acquired pursuant to the exercise of an option acquired under the Plan to a broker other than the Designated Broker within two years after the Offering Date or within one year after the Purchase Date.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Term of Plan. The Plan shall become effective on the Effective Date and, unless terminated earlier pursuant to Section 20(i), shall have a term of ten (10)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Amendment or Termination. The Committee may, in its sole discretion, amend, suspend or terminate the Plan at any time and for any reason. If the Plan is terminated, the Committee may elect to terminate all outstanding Offering Periods either immediately or once Shares have been purchased on the next Purchase Date (which may, in the discretion of the Committee, be accelerated) or permit Offering Periods to expire in accordance with their terms (and subject to any adjustment in accordance with ‎Section 18). If any Offering Period is terminated before its scheduled expiration, all amounts that have not been used to purchase Shares will be returned to Participants (without interest, except as otherwise required by law) as soon as administratively practicable.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Governing Law. The Plan and any agreements hereunder shall be administered, interpreted and enforced in accordance with the laws of the State of Delaware, disregarding any state’s choice of law principles requiring the application of a jurisdiction’s laws other than the State of Delaware. The competent courts located in Delaware shall have exclusive jurisdiction over any dispute arising out of or in connection with the Plan and any award granted hereunder.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Shareholder Approval. The Plan shall be subject to approval by the shareholders of the Company within twelve (12) months before or after the date the Plan is adopted by the Board.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Section 423. The Plan (other than the Non-423 Component) is intended to qualify as an “employee stock purchase plan” under Section 423 of the Code. Any provision of the Plan (other than the Non-423 Component) that is inconsistent with Section 423 of the Code shall be reformed to comply with Section 423 of the Code.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Section 409A; Limitation of Liability. The Plan and all options are intended to be exempt from Section 409A of the Code as “statutory stock options” within the meaning of Treasury Regulation §1.409A-1(b)(5)(ii), and the Plan and the options will be interpreted and administered accordingly. Notwithstanding anything to the contrary in the Plan, neither the Company nor the Committee, nor any person acting on behalf of the Company or the Committee, will be liable to any Participant or other person by reason of any acceleration of income, any additional tax, or any other tax or liability asserted by reason of the failure of the Plan or any option to be exempt from or satisfy the requirements of Section 409A of the Code.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Foreign Exchange Considerations. If any Contributions under the Plan are made in any currency other than U.S. dollars, such Contributions will be converted to U.S. dollars on or prior to the Purchase Date using a prevailing exchange rate in effect at the time such conversion is performed, as determined by the Administrator. Neither the Company nor any U.S. or non-U.S. Affiliate shall be liable for any foreign exchange rate fluctuation between local currency and the U.S. dollar that may affect the value of the options granted to under the Plan, or of any amounts due under the Plan or as a result of the subsequent sale of any Shares acquired under the Plan. By their participation in the Plan, all Participants acknowledge and agree that they may be responsible for reporting inbound transactions or fund transfers that exceed a certain amount. Participants are advised to seek appropriate professional advice as to how the exchange control regulations apply to their participation in the Plan and their specific situation; understanding that the relevant laws and regulations can change frequently and occasionally on a retroactive basis.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Withholding. To the extent required by applicable Federal, state or local law, a Participant must make arrangements satisfactory to the Company for the payment of any withholding or similar tax obligations that arise in connection with the Plan. At any time, the Company or any Subsidiary may, but will not be obligated to, withhold from a Participant’s compensation the amount necessary for the Company or any Subsidiary to meet applicable withholding obligations, including any withholding required to make available to the Company or any Subsidiary any tax deductions or benefits attributable to the sale or early disposition of Shares by such Participant. In addition, the Company or any Subsidiary may, but will not be obligated to, withhold from the proceeds of the sale of Shares or any other method of withholding that the Company or any Subsidiary deems appropriate to the extent permitted by, where applicable, Treasury Regulation Section 1.423-2(f). The Company will not be required to issue any Shares under the Plan until such obligations are satisfied.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Severability. If any provision of the Plan shall for any reason be held to be invalid or unenforceable, such invalidity or unenforceability shall not affect any other provision hereof, and the Plan shall be construed as if such invalid or unenforceable provision were omitted.</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Headings. The headings of sections herein are included solely for convenience and shall not affect the meaning of any of the provisions of the Plan.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Participating Company. A Participating Company may withdraw from the Plan as of any Offering Date by giving written notice to the Board, which notice must be received by at least thirty (30) days prior to such Offering Date.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Paperless Administration. If the Company establishes, for itself or using the services of a third party, an automated system for the documentation and administration of the Plan, such as a system using an internet website or interactive voice response, then the paperless documentation may be permitted through the use of such an automated system.</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Data Privacy. As a condition to participating in the Plan, each Participant explicitly and unambiguously consents to the collection, use and transfer, in electronic or other form, of personal data as described in this Section 20(t)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Share details, to implement, manage and administer the Plan and Shares (the “Data”).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participating in the Plan, each Participant authorizes the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the Participant, request additional information about the storage and processing of the Data regarding the Participant, recommend any necessary corrections to the Data regarding the Participant or refuse or withdraw the consents in this Section 20(t) in writing, without cost, by contacting the local human resources representative. The Company may cancel Participant’s ability to participate in the Plan and, in the Committee’s discretion, the Participant may forfeit any outstanding Shares if the Participant refuses or withdraws the consents in this Section 20(t).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7351</Words>
  <Characters>38712</Characters>
  <CharactersWithSpaces>46036</CharactersWithSpaces>
  <Paragraphs>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